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445D" w:rsidRDefault="0036445D">
      <w:pPr>
        <w:widowControl w:val="0"/>
        <w:contextualSpacing/>
        <w:jc w:val="both"/>
        <w:rPr>
          <w:rFonts w:ascii="Liberation Serif" w:hAnsi="Liberation Serif" w:cs="Liberation Serif"/>
          <w:color w:val="auto"/>
          <w:sz w:val="28"/>
          <w:szCs w:val="28"/>
        </w:rPr>
      </w:pPr>
    </w:p>
    <w:p w:rsidR="0036445D" w:rsidRDefault="0036445D">
      <w:pPr>
        <w:jc w:val="right"/>
        <w:rPr>
          <w:rFonts w:ascii="Liberation Serif" w:hAnsi="Liberation Serif" w:cs="Liberation Serif"/>
          <w:color w:val="auto"/>
          <w:sz w:val="28"/>
          <w:szCs w:val="28"/>
        </w:rPr>
      </w:pPr>
    </w:p>
    <w:p w:rsidR="0036445D" w:rsidRDefault="00C97A1A">
      <w:pPr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</w:rPr>
      </w:pPr>
      <w:r>
        <w:rPr>
          <w:rFonts w:ascii="Liberation Serif" w:hAnsi="Liberation Serif" w:cs="Liberation Serif"/>
          <w:b/>
          <w:bCs/>
          <w:color w:val="auto"/>
          <w:sz w:val="28"/>
          <w:szCs w:val="28"/>
        </w:rPr>
        <w:t xml:space="preserve">Анализ </w:t>
      </w:r>
      <w:r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квалификации приборов учета, шлюзов и роутеров, </w:t>
      </w:r>
    </w:p>
    <w:p w:rsidR="0036445D" w:rsidRDefault="00C97A1A">
      <w:pPr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</w:rPr>
      </w:pPr>
      <w:r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установленных гарантирующим поставщиком </w:t>
      </w:r>
    </w:p>
    <w:p w:rsidR="0036445D" w:rsidRDefault="00C97A1A">
      <w:pPr>
        <w:jc w:val="center"/>
        <w:rPr>
          <w:rFonts w:ascii="Liberation Serif" w:hAnsi="Liberation Serif" w:cs="Liberation Serif"/>
          <w:b/>
          <w:bCs/>
        </w:rPr>
      </w:pPr>
      <w:r>
        <w:rPr>
          <w:rFonts w:ascii="Liberation Serif" w:eastAsia="Times New Roman" w:hAnsi="Liberation Serif" w:cs="Liberation Serif"/>
          <w:b/>
          <w:bCs/>
          <w:sz w:val="28"/>
          <w:szCs w:val="28"/>
        </w:rPr>
        <w:t xml:space="preserve">в рамках исполнения </w:t>
      </w:r>
      <w:r>
        <w:rPr>
          <w:rFonts w:ascii="Liberation Serif" w:hAnsi="Liberation Serif" w:cs="Liberation Serif"/>
          <w:b/>
          <w:bCs/>
          <w:sz w:val="28"/>
          <w:szCs w:val="28"/>
        </w:rPr>
        <w:t>Федерального закона от 27.12.2018 № 522-ФЗ</w:t>
      </w:r>
    </w:p>
    <w:p w:rsidR="0036445D" w:rsidRDefault="0036445D">
      <w:pPr>
        <w:pStyle w:val="af6"/>
        <w:spacing w:line="288" w:lineRule="atLeast"/>
        <w:ind w:left="900"/>
        <w:jc w:val="both"/>
        <w:rPr>
          <w:rFonts w:ascii="Liberation Serif" w:hAnsi="Liberation Serif" w:cs="Liberation Serif"/>
          <w:b/>
          <w:bCs/>
        </w:rPr>
      </w:pPr>
    </w:p>
    <w:p w:rsidR="0036445D" w:rsidRDefault="0036445D">
      <w:pPr>
        <w:pStyle w:val="af6"/>
        <w:spacing w:line="288" w:lineRule="atLeast"/>
        <w:ind w:left="900"/>
        <w:jc w:val="both"/>
        <w:rPr>
          <w:rFonts w:ascii="Liberation Serif" w:hAnsi="Liberation Serif" w:cs="Liberation Serif"/>
          <w:b/>
          <w:bCs/>
        </w:rPr>
      </w:pPr>
    </w:p>
    <w:p w:rsidR="0036445D" w:rsidRDefault="00C97A1A">
      <w:pPr>
        <w:spacing w:line="288" w:lineRule="atLeast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Организация, имеющая статус гарантирующего поставщика электрической энергии (далее – гарантирующий поставщик) в понятии, определенном Федеральным законом от 26.03.2003 N 35-ФЗ «Об электроэнергетике» (далее – Закон об электроэнергетике), осуществляет энергосбытовую деятельность и в силу данного закона обязана заключить договор энергоснабжения, договор купли-продажи (поставки) электрической энергии (мощности) с любым обратившимся к ней потребителем электрической энергии либо с лицом, действующим от своего имени или от имени потребителя электрической энергии и в интересах указанного потребителя электрической энергии и желающим приобрести электрическую энергию. </w:t>
      </w:r>
    </w:p>
    <w:p w:rsidR="0036445D" w:rsidRDefault="00C97A1A">
      <w:pPr>
        <w:spacing w:line="288" w:lineRule="atLeast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соответствии с Федеральным законом от 27.12.2018 № 522-ФЗ </w:t>
      </w:r>
      <w:bookmarkStart w:id="0" w:name="undefined"/>
      <w:bookmarkEnd w:id="0"/>
      <w:r>
        <w:rPr>
          <w:rFonts w:ascii="Liberation Serif" w:hAnsi="Liberation Serif" w:cs="Liberation Serif"/>
          <w:sz w:val="28"/>
          <w:szCs w:val="28"/>
        </w:rPr>
        <w:t>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с 1 июля 2020 года коммерческий учет электрической энергии (мощности) на розничных рынках и в целях оказания коммунальных услуг по электроснабжению обеспечивают гарантирующие поставщики и сетевые организации с применением приборов учета электрической энергии в соответствии с правилами предоставления коммунальных услуг собственникам и пользователям помещений в многоквартирных домах и жилых домов, установленными в соответствии с жилищным законодательством, правилами организации учета электрической энергии на розничных рынках, в том числе посредством интеллектуальных систем учета электрической энергии (мощности).</w:t>
      </w:r>
    </w:p>
    <w:p w:rsidR="0036445D" w:rsidRDefault="00C97A1A">
      <w:pPr>
        <w:spacing w:line="288" w:lineRule="atLeast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Гарантирующие поставщики в ходе обеспечения коммерческого учета электрической энергии (мощности) на розничных рынках и для оказания коммунальных услуг по электроснабжению обязаны осуществлять приобретение, установку, замену, допуск в эксплуатацию приборов учета электрической энергии и (или) иного оборудования, а также нематериальных активов, которые необходимы для обеспечения коммерческого учета электрической энергии (мощности), в отношении многоквартирного дома и помещений в многоквартирных домах, электроснабжение которых осуществляется с использованием общего имущества, при отсутствии, выходе из строя, истечении срока эксплуатации или истечении интервала между поверками приборов учета электрической энергии и (или) иного оборудования, которые используются для коммерческого учета электрической энергии (мощности), в том числе не принадлежащих гарантирующему поставщику, а также последующую их эксплуатацию.</w:t>
      </w:r>
    </w:p>
    <w:p w:rsidR="0036445D" w:rsidRDefault="00C97A1A">
      <w:pPr>
        <w:spacing w:line="288" w:lineRule="atLeast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С 1 января 2022 года, согласно пункту 5 статьи 37 Закона об электроэнергетике, в рамках обеспечения коммерческого учета электрической энергии (мощности) на </w:t>
      </w:r>
      <w:r>
        <w:rPr>
          <w:rFonts w:ascii="Liberation Serif" w:hAnsi="Liberation Serif" w:cs="Liberation Serif"/>
          <w:sz w:val="28"/>
          <w:szCs w:val="28"/>
        </w:rPr>
        <w:lastRenderedPageBreak/>
        <w:t>розничных рынках и для оказания коммунальных услуг по электроснабжению на гарантирующих поставщиков возложена обязанность по всем приборам учета электрической энергии, допускаемым в эксплуатацию, обеспечить безвозмездное предоставление субъектам электроэнергетики и потребителям электрической энергии (мощности), в отношении которых они обеспечивают коммерческий учет, минимального набора функций интеллектуальной системы учета (далее - ИСУ)  с использованием созданных гарантирующими поставщиками ИСУ.</w:t>
      </w:r>
    </w:p>
    <w:p w:rsidR="0036445D" w:rsidRDefault="00C97A1A">
      <w:pPr>
        <w:spacing w:line="288" w:lineRule="atLeast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Выполнение данной обязанности начиная с 1 января 2022 г. также предусмотрено:</w:t>
      </w:r>
    </w:p>
    <w:p w:rsidR="0036445D" w:rsidRDefault="00C97A1A">
      <w:pPr>
        <w:pStyle w:val="aff0"/>
        <w:spacing w:before="0" w:beforeAutospacing="0" w:after="0" w:afterAutospacing="0" w:line="288" w:lineRule="atLeast"/>
        <w:ind w:firstLine="54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- </w:t>
      </w:r>
      <w:proofErr w:type="spellStart"/>
      <w:r>
        <w:rPr>
          <w:rFonts w:ascii="Liberation Serif" w:hAnsi="Liberation Serif" w:cs="Liberation Serif"/>
          <w:color w:val="000000"/>
          <w:sz w:val="28"/>
          <w:szCs w:val="28"/>
        </w:rPr>
        <w:t>абз</w:t>
      </w:r>
      <w:proofErr w:type="spellEnd"/>
      <w:r>
        <w:rPr>
          <w:rFonts w:ascii="Liberation Serif" w:hAnsi="Liberation Serif" w:cs="Liberation Serif"/>
          <w:color w:val="000000"/>
          <w:sz w:val="28"/>
          <w:szCs w:val="28"/>
        </w:rPr>
        <w:t xml:space="preserve">. 3 п. 80 Постановления Правительства РФ от 06.05.2011 № 354 "О предоставлении коммунальных услуг собственникам и пользователям помещений в многоквартирных домах и жилых домов" (далее – Правила № 354), согласно которому допуску в эксплуатацию подлежат коллективные (общедомовые), индивидуальные, общие (квартирные), комнатные приборы учета электрической энергии, соответствующие </w:t>
      </w:r>
      <w:hyperlink r:id="rId8" w:tooltip="https://login.consultant.ru/link/?req=doc&amp;base=LAW&amp;n=473432&amp;dst=100013&amp;field=134&amp;date=24.07.2025" w:history="1">
        <w:r>
          <w:rPr>
            <w:rFonts w:ascii="Liberation Serif" w:hAnsi="Liberation Serif" w:cs="Liberation Serif"/>
            <w:color w:val="000000"/>
            <w:sz w:val="28"/>
            <w:szCs w:val="28"/>
          </w:rPr>
          <w:t>Правилам</w:t>
        </w:r>
      </w:hyperlink>
      <w:r>
        <w:rPr>
          <w:rFonts w:ascii="Liberation Serif" w:hAnsi="Liberation Serif" w:cs="Liberation Serif"/>
          <w:color w:val="000000"/>
          <w:sz w:val="28"/>
          <w:szCs w:val="28"/>
        </w:rPr>
        <w:t xml:space="preserve"> предоставления доступа к минимальному набору функций интеллектуальных систем учета электрической энергии (мощности), с учетом </w:t>
      </w:r>
      <w:hyperlink r:id="rId9" w:tooltip="https://login.consultant.ru/link/?req=doc&amp;base=LAW&amp;n=485337&amp;dst=821&amp;field=134&amp;date=24.07.2025" w:history="1">
        <w:r>
          <w:rPr>
            <w:rFonts w:ascii="Liberation Serif" w:hAnsi="Liberation Serif" w:cs="Liberation Serif"/>
            <w:color w:val="000000"/>
            <w:sz w:val="28"/>
            <w:szCs w:val="28"/>
          </w:rPr>
          <w:t>абзаца второго пункта 80(1)</w:t>
        </w:r>
      </w:hyperlink>
      <w:r>
        <w:rPr>
          <w:rFonts w:ascii="Liberation Serif" w:hAnsi="Liberation Serif" w:cs="Liberation Serif"/>
          <w:color w:val="000000"/>
          <w:sz w:val="28"/>
          <w:szCs w:val="28"/>
        </w:rPr>
        <w:t xml:space="preserve"> Правил № 354;</w:t>
      </w:r>
    </w:p>
    <w:p w:rsidR="0036445D" w:rsidRDefault="00C97A1A">
      <w:pPr>
        <w:pStyle w:val="aff0"/>
        <w:tabs>
          <w:tab w:val="left" w:pos="851"/>
        </w:tabs>
        <w:spacing w:before="0" w:beforeAutospacing="0" w:after="0" w:afterAutospacing="0" w:line="288" w:lineRule="atLeast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- </w:t>
      </w:r>
      <w:proofErr w:type="spellStart"/>
      <w:r>
        <w:rPr>
          <w:rFonts w:ascii="Liberation Serif" w:hAnsi="Liberation Serif" w:cs="Liberation Serif"/>
          <w:color w:val="000000"/>
          <w:sz w:val="28"/>
          <w:szCs w:val="28"/>
        </w:rPr>
        <w:t>абз</w:t>
      </w:r>
      <w:proofErr w:type="spellEnd"/>
      <w:r>
        <w:rPr>
          <w:rFonts w:ascii="Liberation Serif" w:hAnsi="Liberation Serif" w:cs="Liberation Serif"/>
          <w:color w:val="000000"/>
          <w:sz w:val="28"/>
          <w:szCs w:val="28"/>
        </w:rPr>
        <w:t xml:space="preserve">. 2 п. 141 Основных положений функционирования розничных рынков электрической энергии, утв. Постановлением Правительства РФ от 04.05.2012 № 442 (далее - Основные положения), согласно которому для учета электрической энергии (мощности) подлежат установке приборы учета, соответствующие требованиям к приборам учета электрической энергии, которые могут быть присоединены к интеллектуальной системе учета электрической энергии (мощности), в соответствии с </w:t>
      </w:r>
      <w:hyperlink r:id="rId10" w:tooltip="https://login.consultant.ru/link/?req=doc&amp;base=LAW&amp;n=473432&amp;dst=100013&amp;field=134&amp;date=24.07.2025" w:history="1">
        <w:r>
          <w:rPr>
            <w:rFonts w:ascii="Liberation Serif" w:hAnsi="Liberation Serif" w:cs="Liberation Serif"/>
            <w:color w:val="000000"/>
            <w:sz w:val="28"/>
            <w:szCs w:val="28"/>
          </w:rPr>
          <w:t>правилами</w:t>
        </w:r>
      </w:hyperlink>
      <w:r>
        <w:rPr>
          <w:rFonts w:ascii="Liberation Serif" w:hAnsi="Liberation Serif" w:cs="Liberation Serif"/>
          <w:color w:val="000000"/>
          <w:sz w:val="28"/>
          <w:szCs w:val="28"/>
        </w:rPr>
        <w:t xml:space="preserve"> предоставления доступа к минимальному набору функций интеллектуальных систем учета электрической энергии (мощности), если иное не установлено </w:t>
      </w:r>
      <w:hyperlink r:id="rId11" w:tooltip="https://login.consultant.ru/link/?req=doc&amp;base=LAW&amp;n=488151&amp;dst=2485&amp;field=134&amp;date=24.07.2025" w:history="1">
        <w:r>
          <w:rPr>
            <w:rFonts w:ascii="Liberation Serif" w:hAnsi="Liberation Serif" w:cs="Liberation Serif"/>
            <w:color w:val="000000"/>
            <w:sz w:val="28"/>
            <w:szCs w:val="28"/>
          </w:rPr>
          <w:t>пунктом 145</w:t>
        </w:r>
      </w:hyperlink>
      <w:r>
        <w:rPr>
          <w:rFonts w:ascii="Liberation Serif" w:hAnsi="Liberation Serif" w:cs="Liberation Serif"/>
          <w:color w:val="000000"/>
          <w:sz w:val="28"/>
          <w:szCs w:val="28"/>
        </w:rPr>
        <w:t xml:space="preserve"> Основных положений, с учетом установленных </w:t>
      </w:r>
      <w:hyperlink r:id="rId12" w:tooltip="https://login.consultant.ru/link/?req=doc&amp;base=LAW&amp;n=488151&amp;dst=2260&amp;field=134&amp;date=24.07.2025" w:history="1">
        <w:r>
          <w:rPr>
            <w:rFonts w:ascii="Liberation Serif" w:hAnsi="Liberation Serif" w:cs="Liberation Serif"/>
            <w:color w:val="000000"/>
            <w:sz w:val="28"/>
            <w:szCs w:val="28"/>
          </w:rPr>
          <w:t>пунктом 150</w:t>
        </w:r>
      </w:hyperlink>
      <w:r>
        <w:rPr>
          <w:rFonts w:ascii="Liberation Serif" w:hAnsi="Liberation Serif" w:cs="Liberation Serif"/>
          <w:color w:val="000000"/>
          <w:sz w:val="28"/>
          <w:szCs w:val="28"/>
        </w:rPr>
        <w:t xml:space="preserve"> Основных положений особенностей оснащения приборами учета многоквартирных домов, разрешение на строительство которых выдано после 1 января 2021 г. </w:t>
      </w:r>
    </w:p>
    <w:p w:rsidR="0036445D" w:rsidRDefault="00C97A1A">
      <w:pPr>
        <w:pStyle w:val="aff0"/>
        <w:tabs>
          <w:tab w:val="left" w:pos="851"/>
        </w:tabs>
        <w:spacing w:before="0" w:beforeAutospacing="0" w:after="0" w:afterAutospacing="0" w:line="288" w:lineRule="atLeast"/>
        <w:ind w:firstLine="54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Таким образом, с 1 января 2022 обязанность по оснащению многоквартирных домов общедомовыми и индивидуальными приборами учета электрической энергии, имеющим функционал по подключению к ИСУ (далее также – интеллектуальные приборы учета, ИПУ) возложена на гарантирующего поставщика.</w:t>
      </w:r>
    </w:p>
    <w:p w:rsidR="0036445D" w:rsidRDefault="00C97A1A">
      <w:pPr>
        <w:pStyle w:val="aff0"/>
        <w:tabs>
          <w:tab w:val="left" w:pos="851"/>
        </w:tabs>
        <w:spacing w:before="0" w:beforeAutospacing="0" w:after="0" w:afterAutospacing="0" w:line="288" w:lineRule="atLeast"/>
        <w:ind w:firstLine="54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В соответствии со статьёй 3 Закона об электроэнергетике, ИСУ представляет собой совокупность функционально объединенных компонентов и устройств, предназначенных для удаленного сбора, обработки, передачи показаний приборов учета электрической энергии, обеспечивающую информационный обмен, хранение показаний приборов учета электрической энергии, удаленное управление ее компонентами, устройствами и приборами учета электрической энергии, не влияющее на результаты измерений, выполняемых приборами учета электрической энергии, а также предоставление информации о результатах измерений, данных о количестве и иных параметрах электрической энергии в соответствии с </w:t>
      </w:r>
      <w:hyperlink r:id="rId13" w:tooltip="https://login.consultant.ru/link/?req=doc&amp;base=LAW&amp;n=473432&amp;dst=100013&amp;field=134&amp;date=17.09.2025" w:history="1">
        <w:r>
          <w:rPr>
            <w:rFonts w:ascii="Liberation Serif" w:hAnsi="Liberation Serif" w:cs="Liberation Serif"/>
            <w:color w:val="000000"/>
            <w:sz w:val="28"/>
            <w:szCs w:val="28"/>
          </w:rPr>
          <w:t>правилами</w:t>
        </w:r>
      </w:hyperlink>
      <w:r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>
        <w:rPr>
          <w:rFonts w:ascii="Liberation Serif" w:hAnsi="Liberation Serif" w:cs="Liberation Serif"/>
          <w:color w:val="000000"/>
          <w:sz w:val="28"/>
          <w:szCs w:val="28"/>
        </w:rPr>
        <w:lastRenderedPageBreak/>
        <w:t>предоставления доступа к минимальному набору функций интеллектуальных систем учета электрической энергии (мощности), утвержденными Правительством Российской Федерации.</w:t>
      </w:r>
    </w:p>
    <w:p w:rsidR="0036445D" w:rsidRDefault="00C97A1A">
      <w:pPr>
        <w:pStyle w:val="aff0"/>
        <w:tabs>
          <w:tab w:val="left" w:pos="851"/>
        </w:tabs>
        <w:spacing w:before="0" w:beforeAutospacing="0" w:after="0" w:afterAutospacing="0" w:line="288" w:lineRule="atLeast"/>
        <w:ind w:firstLine="54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При этом из норм отраслевого законодательства следует вывод, что приборы учета не являются составной частью ИСУ, а присоединяются к ней с помощью каналообразующего оборудования и находятся под её управлением.</w:t>
      </w:r>
    </w:p>
    <w:p w:rsidR="0036445D" w:rsidRDefault="00C97A1A">
      <w:pPr>
        <w:pStyle w:val="aff0"/>
        <w:tabs>
          <w:tab w:val="left" w:pos="851"/>
        </w:tabs>
        <w:spacing w:before="0" w:beforeAutospacing="0" w:after="0" w:afterAutospacing="0" w:line="288" w:lineRule="atLeast"/>
        <w:ind w:firstLine="54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Так, согласно п. 3 Правил предоставления доступа к минимальному набору функций интеллектуальных систем учета электрической энергии (мощности), утвержденных Постановлением Правительства РФ от 19.06.2020 № 890 (далее – Правила), под прибором учета электрической энергии, присоединенным к интеллектуальной системе учета, понимается прибор учета электрической энергии, допущенный в эксплуатацию для целей коммерческого учета электрической энергии на розничных рынках электрической энергии и (или) предоставления коммунальных услуг по электроснабжению и присоединенный к интеллектуальной системе учета в соответствии с данными Правилами.</w:t>
      </w:r>
    </w:p>
    <w:p w:rsidR="0036445D" w:rsidRDefault="00C97A1A">
      <w:pPr>
        <w:pStyle w:val="aff0"/>
        <w:tabs>
          <w:tab w:val="left" w:pos="851"/>
        </w:tabs>
        <w:spacing w:before="0" w:beforeAutospacing="0" w:after="0" w:afterAutospacing="0" w:line="288" w:lineRule="atLeast"/>
        <w:ind w:firstLine="54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О том, что возможность подключения к ИСУ является только одним из функциональных требований к приборам учета следует также из </w:t>
      </w:r>
      <w:proofErr w:type="spellStart"/>
      <w:r>
        <w:rPr>
          <w:rFonts w:ascii="Liberation Serif" w:hAnsi="Liberation Serif" w:cs="Liberation Serif"/>
          <w:color w:val="000000"/>
          <w:sz w:val="28"/>
          <w:szCs w:val="28"/>
        </w:rPr>
        <w:t>абз</w:t>
      </w:r>
      <w:proofErr w:type="spellEnd"/>
      <w:r>
        <w:rPr>
          <w:rFonts w:ascii="Liberation Serif" w:hAnsi="Liberation Serif" w:cs="Liberation Serif"/>
          <w:color w:val="000000"/>
          <w:sz w:val="28"/>
          <w:szCs w:val="28"/>
        </w:rPr>
        <w:t xml:space="preserve">. 2 п. 141 Основных положений. </w:t>
      </w:r>
    </w:p>
    <w:p w:rsidR="0036445D" w:rsidRDefault="00C97A1A">
      <w:pPr>
        <w:spacing w:after="200"/>
        <w:ind w:firstLine="540"/>
        <w:contextualSpacing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Данный вывод подтверждается разъяснениями контролирующих органов власти. Например, в письме Минэнерго России от 11.12.2024 № СЦ-21040/07 (раздел 2.1.1 приложения № 4) со ссылкой на термины Закона об электроэнергетике относительно структуры ИСУ указано, что приборы учета присоединяются к интеллектуальной системе учета электрической энергии (мощности) через информационно-вычислительный комплекс электроустановки/устройство сбора и передачи данных (для групповых объектов) или непосредственно (для уединенных объектов) и составной частью интеллектуальной системы учета электрической энергии (мощности) не являются.</w:t>
      </w:r>
    </w:p>
    <w:p w:rsidR="0036445D" w:rsidRDefault="00C97A1A">
      <w:pPr>
        <w:spacing w:line="288" w:lineRule="atLeast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приказе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Минцифры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России от 30.12.2020 № 788, который регулирует информационный обмен между компонентами ИСУ, ИПУ также не рассматривается как часть ИСУ.</w:t>
      </w:r>
    </w:p>
    <w:p w:rsidR="0036445D" w:rsidRDefault="00C97A1A">
      <w:pPr>
        <w:spacing w:line="288" w:lineRule="atLeast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Официальных разъяснений Минфина России и ФНС России относительно налогового учета расходов на приобретение (замену) ИПУ, шлюзов и роутеров не установлено.</w:t>
      </w:r>
    </w:p>
    <w:p w:rsidR="0036445D" w:rsidRDefault="0036445D">
      <w:pPr>
        <w:spacing w:line="288" w:lineRule="atLeast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</w:p>
    <w:p w:rsidR="0036445D" w:rsidRDefault="00C97A1A">
      <w:pPr>
        <w:spacing w:line="288" w:lineRule="atLeast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целях </w:t>
      </w:r>
      <w:proofErr w:type="gramStart"/>
      <w:r>
        <w:rPr>
          <w:rFonts w:ascii="Liberation Serif" w:hAnsi="Liberation Serif" w:cs="Liberation Serif"/>
          <w:sz w:val="28"/>
          <w:szCs w:val="28"/>
        </w:rPr>
        <w:t>исполнения</w:t>
      </w:r>
      <w:proofErr w:type="gramEnd"/>
      <w:r>
        <w:rPr>
          <w:rFonts w:ascii="Liberation Serif" w:hAnsi="Liberation Serif" w:cs="Liberation Serif"/>
          <w:sz w:val="28"/>
          <w:szCs w:val="28"/>
        </w:rPr>
        <w:t xml:space="preserve"> указанных выше обязанностей гарантирующий поставщик на основании возмездных договоров приобретает:</w:t>
      </w:r>
    </w:p>
    <w:p w:rsidR="0036445D" w:rsidRDefault="00C97A1A">
      <w:pPr>
        <w:pStyle w:val="af6"/>
        <w:numPr>
          <w:ilvl w:val="0"/>
          <w:numId w:val="30"/>
        </w:numPr>
        <w:tabs>
          <w:tab w:val="left" w:pos="567"/>
        </w:tabs>
        <w:spacing w:line="288" w:lineRule="atLeast"/>
        <w:ind w:left="0"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ИПУ и каналообразующее оборудование (шлюзы, роутеры);</w:t>
      </w:r>
    </w:p>
    <w:p w:rsidR="0036445D" w:rsidRDefault="00C97A1A">
      <w:pPr>
        <w:pStyle w:val="af6"/>
        <w:numPr>
          <w:ilvl w:val="0"/>
          <w:numId w:val="30"/>
        </w:numPr>
        <w:spacing w:line="288" w:lineRule="atLeast"/>
        <w:ind w:left="0" w:firstLine="567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работы по установке, пуско-наладке и вводу в эксплуатацию ИПУ и каналообразующего оборудования. </w:t>
      </w:r>
    </w:p>
    <w:p w:rsidR="0036445D" w:rsidRDefault="00C97A1A">
      <w:pPr>
        <w:spacing w:line="288" w:lineRule="atLeast"/>
        <w:ind w:firstLine="540"/>
        <w:jc w:val="both"/>
        <w:rPr>
          <w:rFonts w:ascii="Liberation Serif" w:eastAsia="TimesNewRomanPSMT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Согласно условиям этих договоров Подрядчик</w:t>
      </w:r>
      <w:r>
        <w:rPr>
          <w:rFonts w:ascii="Liberation Serif" w:eastAsia="TimesNewRomanPSMT" w:hAnsi="Liberation Serif" w:cs="Liberation Serif"/>
          <w:sz w:val="28"/>
          <w:szCs w:val="28"/>
        </w:rPr>
        <w:t xml:space="preserve"> обязуется выполнить по заданию Заказчика работы по установке (замене) приборов учета у потребителей электроэнергии (физических и юридических лиц) МКД, установку (замену) коллективных (общедомовых) приборов учета МКД и иного оборудования, </w:t>
      </w:r>
      <w:r>
        <w:rPr>
          <w:rFonts w:ascii="Liberation Serif" w:eastAsia="TimesNewRomanPSMT" w:hAnsi="Liberation Serif" w:cs="Liberation Serif"/>
          <w:sz w:val="28"/>
          <w:szCs w:val="28"/>
        </w:rPr>
        <w:lastRenderedPageBreak/>
        <w:t>необходимого для обеспечения коммерческого учета электрической энергии (мощности).</w:t>
      </w:r>
    </w:p>
    <w:p w:rsidR="0036445D" w:rsidRDefault="00C97A1A">
      <w:pPr>
        <w:ind w:firstLine="540"/>
        <w:jc w:val="both"/>
        <w:rPr>
          <w:rFonts w:ascii="Liberation Serif" w:eastAsia="TimesNewRomanPSMT" w:hAnsi="Liberation Serif" w:cs="Liberation Serif"/>
          <w:sz w:val="28"/>
          <w:szCs w:val="28"/>
        </w:rPr>
      </w:pPr>
      <w:r>
        <w:rPr>
          <w:rFonts w:ascii="Liberation Serif" w:eastAsia="TimesNewRomanPSMT" w:hAnsi="Liberation Serif" w:cs="Liberation Serif"/>
          <w:sz w:val="28"/>
          <w:szCs w:val="28"/>
        </w:rPr>
        <w:t>В зависимости от вида оборудования, подлежащего установке (замене), выполняются следующие группировки работ, объединяющие в себя отдельные комплексы работ и этапы работ:</w:t>
      </w:r>
    </w:p>
    <w:p w:rsidR="0036445D" w:rsidRDefault="00C97A1A">
      <w:pPr>
        <w:ind w:firstLine="567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1) Установка (замена) индивидуальных и общедомовых приборов учета:</w:t>
      </w:r>
    </w:p>
    <w:p w:rsidR="0036445D" w:rsidRDefault="00C97A1A">
      <w:pPr>
        <w:ind w:firstLine="567"/>
        <w:rPr>
          <w:rFonts w:ascii="Liberation Serif" w:eastAsia="TimesNewRomanPSMT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Cs/>
          <w:iCs/>
          <w:sz w:val="28"/>
          <w:szCs w:val="28"/>
        </w:rPr>
        <w:t xml:space="preserve">Комплекс работ №1, </w:t>
      </w:r>
      <w:r>
        <w:rPr>
          <w:rFonts w:ascii="Liberation Serif" w:eastAsia="TimesNewRomanPSMT" w:hAnsi="Liberation Serif" w:cs="Liberation Serif"/>
          <w:sz w:val="28"/>
          <w:szCs w:val="28"/>
        </w:rPr>
        <w:t>в т.ч. этапы:</w:t>
      </w:r>
    </w:p>
    <w:p w:rsidR="0036445D" w:rsidRDefault="00C97A1A">
      <w:pPr>
        <w:pStyle w:val="af6"/>
        <w:numPr>
          <w:ilvl w:val="0"/>
          <w:numId w:val="31"/>
        </w:numPr>
        <w:rPr>
          <w:rFonts w:ascii="Liberation Serif" w:eastAsia="TimesNewRomanPSMT" w:hAnsi="Liberation Serif" w:cs="Liberation Serif"/>
          <w:sz w:val="28"/>
          <w:szCs w:val="28"/>
        </w:rPr>
      </w:pPr>
      <w:r>
        <w:rPr>
          <w:rFonts w:ascii="Liberation Serif" w:eastAsia="TimesNewRomanPSMT" w:hAnsi="Liberation Serif" w:cs="Liberation Serif"/>
          <w:sz w:val="28"/>
          <w:szCs w:val="28"/>
        </w:rPr>
        <w:t>Предпроектное обследование;</w:t>
      </w:r>
    </w:p>
    <w:p w:rsidR="0036445D" w:rsidRDefault="00C97A1A">
      <w:pPr>
        <w:pStyle w:val="af6"/>
        <w:numPr>
          <w:ilvl w:val="0"/>
          <w:numId w:val="31"/>
        </w:numPr>
        <w:rPr>
          <w:rFonts w:ascii="Liberation Serif" w:eastAsia="TimesNewRomanPSMT" w:hAnsi="Liberation Serif" w:cs="Liberation Serif"/>
          <w:sz w:val="28"/>
          <w:szCs w:val="28"/>
        </w:rPr>
      </w:pPr>
      <w:r>
        <w:rPr>
          <w:rFonts w:ascii="Liberation Serif" w:eastAsia="TimesNewRomanPSMT" w:hAnsi="Liberation Serif" w:cs="Liberation Serif"/>
          <w:sz w:val="28"/>
          <w:szCs w:val="28"/>
        </w:rPr>
        <w:t>Проектно</w:t>
      </w:r>
      <w:r>
        <w:rPr>
          <w:rFonts w:ascii="Liberation Serif" w:hAnsi="Liberation Serif" w:cs="Liberation Serif"/>
          <w:sz w:val="28"/>
          <w:szCs w:val="28"/>
        </w:rPr>
        <w:t>-</w:t>
      </w:r>
      <w:r>
        <w:rPr>
          <w:rFonts w:ascii="Liberation Serif" w:eastAsia="TimesNewRomanPSMT" w:hAnsi="Liberation Serif" w:cs="Liberation Serif"/>
          <w:sz w:val="28"/>
          <w:szCs w:val="28"/>
        </w:rPr>
        <w:t>изыскательские работы;</w:t>
      </w:r>
    </w:p>
    <w:p w:rsidR="0036445D" w:rsidRDefault="00C97A1A">
      <w:pPr>
        <w:pStyle w:val="af6"/>
        <w:numPr>
          <w:ilvl w:val="0"/>
          <w:numId w:val="31"/>
        </w:numPr>
        <w:jc w:val="both"/>
        <w:rPr>
          <w:rFonts w:ascii="Liberation Serif" w:eastAsia="TimesNewRomanPSMT" w:hAnsi="Liberation Serif" w:cs="Liberation Serif"/>
          <w:sz w:val="28"/>
          <w:szCs w:val="28"/>
        </w:rPr>
      </w:pPr>
      <w:r>
        <w:rPr>
          <w:rFonts w:ascii="Liberation Serif" w:eastAsia="TimesNewRomanPSMT" w:hAnsi="Liberation Serif" w:cs="Liberation Serif"/>
          <w:sz w:val="28"/>
          <w:szCs w:val="28"/>
        </w:rPr>
        <w:t xml:space="preserve">Выполнение монтажных работ, включая поставку оборудования и материалов (за исключением каналообразующего оборудования), а также работ по </w:t>
      </w:r>
      <w:proofErr w:type="spellStart"/>
      <w:r>
        <w:rPr>
          <w:rFonts w:ascii="Liberation Serif" w:eastAsia="TimesNewRomanPSMT" w:hAnsi="Liberation Serif" w:cs="Liberation Serif"/>
          <w:sz w:val="28"/>
          <w:szCs w:val="28"/>
        </w:rPr>
        <w:t>параметрированию</w:t>
      </w:r>
      <w:proofErr w:type="spellEnd"/>
      <w:r>
        <w:rPr>
          <w:rFonts w:ascii="Liberation Serif" w:eastAsia="TimesNewRomanPSMT" w:hAnsi="Liberation Serif" w:cs="Liberation Serif"/>
          <w:sz w:val="28"/>
          <w:szCs w:val="28"/>
        </w:rPr>
        <w:t xml:space="preserve"> приборов учета электроэнергии, не связанных с организацией дистанционного опроса приборов учета через систему передачи данных.</w:t>
      </w:r>
    </w:p>
    <w:p w:rsidR="0036445D" w:rsidRDefault="00C97A1A">
      <w:pPr>
        <w:ind w:firstLine="567"/>
        <w:rPr>
          <w:rFonts w:ascii="Liberation Serif" w:eastAsia="TimesNewRomanPSMT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Cs/>
          <w:iCs/>
          <w:sz w:val="28"/>
          <w:szCs w:val="28"/>
        </w:rPr>
        <w:t>Комплекс работ №2</w:t>
      </w:r>
      <w:r>
        <w:rPr>
          <w:rFonts w:ascii="Liberation Serif" w:eastAsia="TimesNewRomanPSMT" w:hAnsi="Liberation Serif" w:cs="Liberation Serif"/>
          <w:sz w:val="28"/>
          <w:szCs w:val="28"/>
        </w:rPr>
        <w:t>:</w:t>
      </w:r>
    </w:p>
    <w:p w:rsidR="0036445D" w:rsidRDefault="00C97A1A">
      <w:pPr>
        <w:pStyle w:val="af6"/>
        <w:numPr>
          <w:ilvl w:val="0"/>
          <w:numId w:val="33"/>
        </w:numPr>
        <w:rPr>
          <w:rFonts w:ascii="Liberation Serif" w:eastAsia="TimesNewRomanPSMT" w:hAnsi="Liberation Serif" w:cs="Liberation Serif"/>
          <w:sz w:val="28"/>
          <w:szCs w:val="28"/>
        </w:rPr>
      </w:pPr>
      <w:r>
        <w:rPr>
          <w:rFonts w:ascii="Liberation Serif" w:eastAsia="TimesNewRomanPSMT" w:hAnsi="Liberation Serif" w:cs="Liberation Serif"/>
          <w:sz w:val="28"/>
          <w:szCs w:val="28"/>
        </w:rPr>
        <w:t>Выполнение пуско-наладочных работ приборов учета, необходимых для дистанционного опроса приборов учета через систему передачи данных.</w:t>
      </w:r>
    </w:p>
    <w:p w:rsidR="0036445D" w:rsidRDefault="00C97A1A">
      <w:pPr>
        <w:ind w:firstLine="567"/>
        <w:jc w:val="both"/>
        <w:rPr>
          <w:rFonts w:ascii="Liberation Serif" w:eastAsiaTheme="minorHAnsi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 xml:space="preserve">2) </w:t>
      </w:r>
      <w:r>
        <w:rPr>
          <w:rFonts w:ascii="Liberation Serif" w:eastAsiaTheme="minorHAnsi" w:hAnsi="Liberation Serif" w:cs="Liberation Serif"/>
          <w:bCs/>
          <w:sz w:val="28"/>
          <w:szCs w:val="28"/>
        </w:rPr>
        <w:t>Установка (замена) каналообразующего оборудования, входящего в состав системы передачи данных.</w:t>
      </w:r>
    </w:p>
    <w:p w:rsidR="0036445D" w:rsidRDefault="00C97A1A">
      <w:pPr>
        <w:ind w:firstLine="567"/>
        <w:jc w:val="both"/>
        <w:rPr>
          <w:rFonts w:ascii="Liberation Serif" w:eastAsia="TimesNewRomanPSMT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bCs/>
          <w:iCs/>
          <w:sz w:val="28"/>
          <w:szCs w:val="28"/>
        </w:rPr>
        <w:t xml:space="preserve">Комплекс работ №3, </w:t>
      </w:r>
      <w:r>
        <w:rPr>
          <w:rFonts w:ascii="Liberation Serif" w:eastAsia="TimesNewRomanPSMT" w:hAnsi="Liberation Serif" w:cs="Liberation Serif"/>
          <w:sz w:val="28"/>
          <w:szCs w:val="28"/>
        </w:rPr>
        <w:t>в т.ч. этапы:</w:t>
      </w:r>
    </w:p>
    <w:p w:rsidR="0036445D" w:rsidRDefault="00C97A1A">
      <w:pPr>
        <w:pStyle w:val="af6"/>
        <w:numPr>
          <w:ilvl w:val="0"/>
          <w:numId w:val="32"/>
        </w:numPr>
        <w:rPr>
          <w:rFonts w:ascii="Liberation Serif" w:eastAsia="TimesNewRomanPSMT" w:hAnsi="Liberation Serif" w:cs="Liberation Serif"/>
          <w:sz w:val="28"/>
          <w:szCs w:val="28"/>
        </w:rPr>
      </w:pPr>
      <w:r>
        <w:rPr>
          <w:rFonts w:ascii="Liberation Serif" w:eastAsia="TimesNewRomanPSMT" w:hAnsi="Liberation Serif" w:cs="Liberation Serif"/>
          <w:sz w:val="28"/>
          <w:szCs w:val="28"/>
        </w:rPr>
        <w:t>Проектно</w:t>
      </w:r>
      <w:r>
        <w:rPr>
          <w:rFonts w:ascii="Liberation Serif" w:hAnsi="Liberation Serif" w:cs="Liberation Serif"/>
          <w:sz w:val="28"/>
          <w:szCs w:val="28"/>
        </w:rPr>
        <w:t>-</w:t>
      </w:r>
      <w:r>
        <w:rPr>
          <w:rFonts w:ascii="Liberation Serif" w:eastAsia="TimesNewRomanPSMT" w:hAnsi="Liberation Serif" w:cs="Liberation Serif"/>
          <w:sz w:val="28"/>
          <w:szCs w:val="28"/>
        </w:rPr>
        <w:t>изыскательские работы;</w:t>
      </w:r>
    </w:p>
    <w:p w:rsidR="0036445D" w:rsidRDefault="00C97A1A">
      <w:pPr>
        <w:pStyle w:val="af6"/>
        <w:numPr>
          <w:ilvl w:val="0"/>
          <w:numId w:val="32"/>
        </w:numPr>
        <w:rPr>
          <w:rFonts w:ascii="Liberation Serif" w:eastAsia="TimesNewRomanPSMT" w:hAnsi="Liberation Serif" w:cs="Liberation Serif"/>
          <w:sz w:val="28"/>
          <w:szCs w:val="28"/>
        </w:rPr>
      </w:pPr>
      <w:r>
        <w:rPr>
          <w:rFonts w:ascii="Liberation Serif" w:eastAsia="TimesNewRomanPSMT" w:hAnsi="Liberation Serif" w:cs="Liberation Serif"/>
          <w:sz w:val="28"/>
          <w:szCs w:val="28"/>
        </w:rPr>
        <w:t>Выполнение монтажных работ каналообразующего оборудовании;</w:t>
      </w:r>
    </w:p>
    <w:p w:rsidR="0036445D" w:rsidRDefault="00C97A1A">
      <w:pPr>
        <w:pStyle w:val="af6"/>
        <w:numPr>
          <w:ilvl w:val="0"/>
          <w:numId w:val="32"/>
        </w:numPr>
        <w:rPr>
          <w:rFonts w:ascii="Liberation Serif" w:eastAsia="TimesNewRomanPSMT" w:hAnsi="Liberation Serif" w:cs="Liberation Serif"/>
          <w:sz w:val="28"/>
          <w:szCs w:val="28"/>
        </w:rPr>
      </w:pPr>
      <w:r>
        <w:rPr>
          <w:rFonts w:ascii="Liberation Serif" w:eastAsia="TimesNewRomanPSMT" w:hAnsi="Liberation Serif" w:cs="Liberation Serif"/>
          <w:sz w:val="28"/>
          <w:szCs w:val="28"/>
        </w:rPr>
        <w:t>Выполнение пуско</w:t>
      </w:r>
      <w:r>
        <w:rPr>
          <w:rFonts w:ascii="Liberation Serif" w:hAnsi="Liberation Serif" w:cs="Liberation Serif"/>
          <w:sz w:val="28"/>
          <w:szCs w:val="28"/>
        </w:rPr>
        <w:t>-</w:t>
      </w:r>
      <w:r>
        <w:rPr>
          <w:rFonts w:ascii="Liberation Serif" w:eastAsia="TimesNewRomanPSMT" w:hAnsi="Liberation Serif" w:cs="Liberation Serif"/>
          <w:sz w:val="28"/>
          <w:szCs w:val="28"/>
        </w:rPr>
        <w:t>наладочных работ каналообразующего оборудования.</w:t>
      </w:r>
    </w:p>
    <w:p w:rsidR="0036445D" w:rsidRDefault="00C97A1A">
      <w:pPr>
        <w:spacing w:line="288" w:lineRule="atLeast"/>
        <w:ind w:firstLine="540"/>
        <w:jc w:val="both"/>
        <w:rPr>
          <w:rFonts w:ascii="Liberation Serif" w:eastAsia="TimesNewRomanPSMT" w:hAnsi="Liberation Serif" w:cs="Liberation Serif"/>
          <w:sz w:val="28"/>
          <w:szCs w:val="28"/>
        </w:rPr>
      </w:pPr>
      <w:r>
        <w:rPr>
          <w:rFonts w:ascii="Liberation Serif" w:eastAsia="TimesNewRomanPSMT" w:hAnsi="Liberation Serif" w:cs="Liberation Serif"/>
          <w:sz w:val="28"/>
          <w:szCs w:val="28"/>
        </w:rPr>
        <w:t>Работы по Договорам выполняются иждивением Подрядчика – из его материалов (приборы учета и каналообразующее оборудование приобретает Подрядчик за счет собственных средств).</w:t>
      </w:r>
    </w:p>
    <w:p w:rsidR="0036445D" w:rsidRDefault="00C97A1A">
      <w:pPr>
        <w:spacing w:line="288" w:lineRule="atLeast"/>
        <w:ind w:firstLine="540"/>
        <w:jc w:val="both"/>
        <w:rPr>
          <w:rFonts w:ascii="Liberation Serif" w:eastAsia="TimesNewRomanPSMT" w:hAnsi="Liberation Serif" w:cs="Liberation Serif"/>
          <w:sz w:val="28"/>
          <w:szCs w:val="28"/>
        </w:rPr>
      </w:pPr>
      <w:r>
        <w:rPr>
          <w:rFonts w:ascii="Liberation Serif" w:eastAsia="TimesNewRomanPSMT" w:hAnsi="Liberation Serif" w:cs="Liberation Serif"/>
          <w:sz w:val="28"/>
          <w:szCs w:val="28"/>
        </w:rPr>
        <w:t>Кроме того, оборудование также может поставляться Подрядчиком отдельными партиями на склад Заказчика путем прямой купли-продажи с целью его последующей передачи Заказчиком в монтаж в виде давальческого оборудования.</w:t>
      </w:r>
    </w:p>
    <w:p w:rsidR="0036445D" w:rsidRDefault="00C97A1A">
      <w:pPr>
        <w:ind w:firstLine="540"/>
        <w:jc w:val="both"/>
        <w:rPr>
          <w:rFonts w:ascii="Liberation Serif" w:eastAsia="TimesNewRomanPSMT" w:hAnsi="Liberation Serif" w:cs="Liberation Serif"/>
          <w:sz w:val="28"/>
          <w:szCs w:val="28"/>
        </w:rPr>
      </w:pPr>
      <w:r>
        <w:rPr>
          <w:rFonts w:ascii="Liberation Serif" w:eastAsia="TimesNewRomanPSMT" w:hAnsi="Liberation Serif" w:cs="Liberation Serif"/>
          <w:sz w:val="28"/>
          <w:szCs w:val="28"/>
        </w:rPr>
        <w:t>По факту выполнения монтажных работ Подрядчик предоставляет ведомость установленного каналообразующего оборудования, ведомость снятых и установленных приборов учёта электроэнергии, ведомость пуско</w:t>
      </w:r>
      <w:r>
        <w:rPr>
          <w:rFonts w:ascii="Liberation Serif" w:hAnsi="Liberation Serif" w:cs="Liberation Serif"/>
          <w:sz w:val="28"/>
          <w:szCs w:val="28"/>
        </w:rPr>
        <w:t>-</w:t>
      </w:r>
      <w:r>
        <w:rPr>
          <w:rFonts w:ascii="Liberation Serif" w:eastAsia="TimesNewRomanPSMT" w:hAnsi="Liberation Serif" w:cs="Liberation Serif"/>
          <w:sz w:val="28"/>
          <w:szCs w:val="28"/>
        </w:rPr>
        <w:t xml:space="preserve">наладочных работ по утвержденным Договорами формам. </w:t>
      </w:r>
    </w:p>
    <w:p w:rsidR="0036445D" w:rsidRDefault="00C97A1A">
      <w:pPr>
        <w:ind w:firstLine="540"/>
        <w:jc w:val="both"/>
        <w:rPr>
          <w:rFonts w:ascii="Liberation Serif" w:eastAsia="TimesNewRomanPSMT" w:hAnsi="Liberation Serif" w:cs="Liberation Serif"/>
          <w:sz w:val="28"/>
          <w:szCs w:val="28"/>
        </w:rPr>
      </w:pPr>
      <w:r>
        <w:rPr>
          <w:rFonts w:ascii="Liberation Serif" w:eastAsia="TimesNewRomanPSMT" w:hAnsi="Liberation Serif" w:cs="Liberation Serif"/>
          <w:sz w:val="28"/>
          <w:szCs w:val="28"/>
        </w:rPr>
        <w:t>Право собственности на установленное оборудование (приборы учета, каналообразующее оборудование) переходит от Подрядчика к Заказчику с даты подписания Сторонами Акта о приемке выполненных работ на монтажные работы.</w:t>
      </w:r>
    </w:p>
    <w:p w:rsidR="0036445D" w:rsidRDefault="00C97A1A">
      <w:pPr>
        <w:ind w:firstLine="540"/>
        <w:jc w:val="both"/>
        <w:rPr>
          <w:rFonts w:ascii="Liberation Serif" w:eastAsia="TimesNewRomanPSMT" w:hAnsi="Liberation Serif" w:cs="Liberation Serif"/>
          <w:sz w:val="28"/>
          <w:szCs w:val="28"/>
        </w:rPr>
      </w:pPr>
      <w:r>
        <w:rPr>
          <w:rFonts w:ascii="Liberation Serif" w:eastAsia="TimesNewRomanPSMT" w:hAnsi="Liberation Serif" w:cs="Liberation Serif"/>
          <w:sz w:val="28"/>
          <w:szCs w:val="28"/>
        </w:rPr>
        <w:t xml:space="preserve">Вместе с тем, в соответствии с нормами НК РФ амортизируемым имуществом в целях налогообложения прибыли признаются имущество, результаты интеллектуальной деятельности и иные объекты интеллектуальной собственности, которые находятся у налогоплательщика на праве собственности (если иное не предусмотрено гл. 25 НК РФ), используются им для извлечения дохода и стоимость которых погашается путем начисления амортизации. Амортизируемым имуществом </w:t>
      </w:r>
      <w:r>
        <w:rPr>
          <w:rFonts w:ascii="Liberation Serif" w:eastAsia="TimesNewRomanPSMT" w:hAnsi="Liberation Serif" w:cs="Liberation Serif"/>
          <w:sz w:val="28"/>
          <w:szCs w:val="28"/>
        </w:rPr>
        <w:lastRenderedPageBreak/>
        <w:t>признается имущество со сроком полезного использования более 12 месяцев и первоначальной стоимостью более 100 000 руб. (п. 1 ст. 256 НК РФ).</w:t>
      </w:r>
    </w:p>
    <w:p w:rsidR="0036445D" w:rsidRDefault="00C97A1A">
      <w:pPr>
        <w:ind w:firstLine="540"/>
        <w:jc w:val="both"/>
        <w:rPr>
          <w:rFonts w:ascii="Liberation Serif" w:eastAsia="TimesNewRomanPSMT" w:hAnsi="Liberation Serif" w:cs="Liberation Serif"/>
          <w:sz w:val="28"/>
          <w:szCs w:val="28"/>
        </w:rPr>
      </w:pPr>
      <w:r>
        <w:rPr>
          <w:rFonts w:ascii="Liberation Serif" w:eastAsia="TimesNewRomanPSMT" w:hAnsi="Liberation Serif" w:cs="Liberation Serif"/>
          <w:sz w:val="28"/>
          <w:szCs w:val="28"/>
        </w:rPr>
        <w:t>Под основными средствами (ОС) в целях Главы 25 НК РФ понимается часть имущества, используемого в качестве средств труда для производства и реализации товаров (выполнения работ, оказания услуг) или для управления организацией первоначальной стоимостью более 100 000 руб. (п. 1 ст. 257 НК РФ).</w:t>
      </w:r>
    </w:p>
    <w:p w:rsidR="0036445D" w:rsidRDefault="00C97A1A">
      <w:pPr>
        <w:spacing w:line="288" w:lineRule="atLeast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Исходя из практического опыта организации учета потребляемой электроэнергии следует отметить, что приборы учета и каналообразующее оборудование в отдельно взятом многоквартирном доме устанавливаются постепенно, по факту возникновения потребности у потребителя электрической энергии по установке, замене в связи с выходом из строя, утратой, истечением срока эксплуатации или истечением интервала между поверками и т.д. Приборы учета начинают выполнять свои функции с момента их установки и допуска к эксплуатации (независимо от проведения пуско-наладочных работ по подключению их к ИСУ), при этом временной разрыв может составлять несколько лет.</w:t>
      </w:r>
    </w:p>
    <w:p w:rsidR="0036445D" w:rsidRDefault="00C97A1A">
      <w:pPr>
        <w:spacing w:line="288" w:lineRule="atLeast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 технической документации по ИПУ, которые устанавливаются гарантирующим поставщиком, указывается, что они могут эксплуатироваться как автономно, так и в составе автоматизированных систем учета электроэнергии (</w:t>
      </w:r>
      <w:proofErr w:type="gramStart"/>
      <w:r>
        <w:rPr>
          <w:rFonts w:ascii="Liberation Serif" w:hAnsi="Liberation Serif" w:cs="Liberation Serif"/>
          <w:sz w:val="28"/>
          <w:szCs w:val="28"/>
        </w:rPr>
        <w:t>например</w:t>
      </w:r>
      <w:proofErr w:type="gramEnd"/>
      <w:r>
        <w:rPr>
          <w:rFonts w:ascii="Liberation Serif" w:hAnsi="Liberation Serif" w:cs="Liberation Serif"/>
          <w:sz w:val="28"/>
          <w:szCs w:val="28"/>
        </w:rPr>
        <w:t>. руководство по эксплуатации счетчика электрической энергии однофазного интеллектуального НАРТИС-100).</w:t>
      </w:r>
    </w:p>
    <w:p w:rsidR="0036445D" w:rsidRDefault="00C97A1A">
      <w:pPr>
        <w:spacing w:line="288" w:lineRule="atLeast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Счетчики НАРТИС-100 являются законченными укомплектованными изделиями, для установки которых на месте эксплуатации достаточно указаний, приведенных в эксплуатационной документации, в которой нормированы метрологические характеристики измерительных каналов системы (лист 2 Описания типа средства измерений НАРТИС-100 (утв. приказом Федерального агентства по техническому регулированию и метрологии от 16.10.2023 № 2179)).</w:t>
      </w:r>
    </w:p>
    <w:p w:rsidR="0036445D" w:rsidRDefault="00C97A1A">
      <w:pPr>
        <w:pStyle w:val="af6"/>
        <w:spacing w:line="288" w:lineRule="atLeast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Приборы учета, подключённые к ИСУ, обеспечивают надлежащее выполнение ей своих функций, но при этом в отсутствие подключения или неисправности иных элементов (каналообразующего оборудования) не утрачивают свою функциональность как средство измерения. </w:t>
      </w:r>
    </w:p>
    <w:p w:rsidR="0036445D" w:rsidRDefault="00C97A1A">
      <w:pPr>
        <w:pStyle w:val="af6"/>
        <w:spacing w:line="288" w:lineRule="atLeast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Так, например, ИПУ без подключения к ИСУ способны выполнять следующие функции: </w:t>
      </w:r>
    </w:p>
    <w:p w:rsidR="0036445D" w:rsidRDefault="00C97A1A">
      <w:pPr>
        <w:pStyle w:val="af6"/>
        <w:numPr>
          <w:ilvl w:val="0"/>
          <w:numId w:val="29"/>
        </w:numPr>
        <w:spacing w:line="288" w:lineRule="atLeast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измерять активную и реактивную энергию в сетях переменного тока; </w:t>
      </w:r>
    </w:p>
    <w:p w:rsidR="0036445D" w:rsidRDefault="00C97A1A">
      <w:pPr>
        <w:pStyle w:val="af6"/>
        <w:numPr>
          <w:ilvl w:val="0"/>
          <w:numId w:val="29"/>
        </w:numPr>
        <w:spacing w:line="288" w:lineRule="atLeast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выполнять измерения с применением коэффициентов трансформации измерительных трансформаторов тока и напряжения;</w:t>
      </w:r>
    </w:p>
    <w:p w:rsidR="0036445D" w:rsidRDefault="00C97A1A">
      <w:pPr>
        <w:pStyle w:val="af6"/>
        <w:numPr>
          <w:ilvl w:val="0"/>
          <w:numId w:val="29"/>
        </w:numPr>
        <w:spacing w:line="288" w:lineRule="atLeast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фиксировать несанкционированный доступ к прибору учета;</w:t>
      </w:r>
    </w:p>
    <w:p w:rsidR="0036445D" w:rsidRDefault="00C97A1A">
      <w:pPr>
        <w:pStyle w:val="af6"/>
        <w:numPr>
          <w:ilvl w:val="0"/>
          <w:numId w:val="29"/>
        </w:numPr>
        <w:spacing w:line="288" w:lineRule="atLeast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записывать события в отдельные выделенные сегменты энергонезависимой памяти;</w:t>
      </w:r>
    </w:p>
    <w:p w:rsidR="0036445D" w:rsidRDefault="00C97A1A">
      <w:pPr>
        <w:pStyle w:val="af6"/>
        <w:numPr>
          <w:ilvl w:val="0"/>
          <w:numId w:val="29"/>
        </w:numPr>
        <w:spacing w:line="288" w:lineRule="atLeast"/>
        <w:ind w:left="0"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вести журналы событий (в памяти прибора НАРТИС-100 все журналы хранятся в течение всего срока службы счетчика (лист 4 Описания типа средства измерений НАРТИС-100 (утв. приказом Федерального агентства по техническому регулированию и метрологии от 16.10.2023 № 2179)).</w:t>
      </w:r>
    </w:p>
    <w:p w:rsidR="0036445D" w:rsidRDefault="00C97A1A">
      <w:pPr>
        <w:spacing w:line="288" w:lineRule="atLeast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В отсутствие подключения к интеллектуальной системе учета показания и иные характеристики поставляемой электроэнергии могут фиксироваться визуально (на дисплее) или при прямом подключении иной техники (компьютеров) к прибору учета.</w:t>
      </w:r>
    </w:p>
    <w:p w:rsidR="0036445D" w:rsidRDefault="00C97A1A">
      <w:pPr>
        <w:spacing w:line="288" w:lineRule="atLeast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Из указанного следует, что ИПУ, несмотря на тесную связь с ИСУ, является самостоятельно функционирующим объектом и должен учитываться отдельно.</w:t>
      </w:r>
    </w:p>
    <w:p w:rsidR="0036445D" w:rsidRDefault="00C97A1A">
      <w:pPr>
        <w:spacing w:line="288" w:lineRule="atLeast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Аналогичный вывод можно сделать и в отношении элементов опорной сети ИСУ – шлюзов и роутеров.</w:t>
      </w:r>
    </w:p>
    <w:p w:rsidR="0036445D" w:rsidRDefault="00C97A1A">
      <w:pPr>
        <w:spacing w:line="288" w:lineRule="atLeast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Согласно руководству по эксплуатации коммуникационного шлюза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Нартис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CG-ZB-02C, он предназначен для организации беспроводных каналов передачи данных в системах контроля, учета и управления распределенными технологическими объектами. Шлюз используется для работы в беспроводных вычислительных сетях на основе технологии беспроводной передачи данных </w:t>
      </w:r>
      <w:proofErr w:type="spellStart"/>
      <w:r>
        <w:rPr>
          <w:rFonts w:ascii="Liberation Serif" w:hAnsi="Liberation Serif" w:cs="Liberation Serif"/>
          <w:sz w:val="28"/>
          <w:szCs w:val="28"/>
        </w:rPr>
        <w:t>ZigBee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 в качестве координатора сети, реализует функции по формированию </w:t>
      </w:r>
      <w:proofErr w:type="spellStart"/>
      <w:r>
        <w:rPr>
          <w:rFonts w:ascii="Liberation Serif" w:hAnsi="Liberation Serif" w:cs="Liberation Serif"/>
          <w:sz w:val="28"/>
          <w:szCs w:val="28"/>
        </w:rPr>
        <w:t>ZigBee</w:t>
      </w:r>
      <w:proofErr w:type="spellEnd"/>
      <w:r>
        <w:rPr>
          <w:rFonts w:ascii="Liberation Serif" w:hAnsi="Liberation Serif" w:cs="Liberation Serif"/>
          <w:sz w:val="28"/>
          <w:szCs w:val="28"/>
        </w:rPr>
        <w:t>-сети, обеспечению политики безопасности, настройке подключения и сбору данных с абонентских устройств.</w:t>
      </w:r>
    </w:p>
    <w:p w:rsidR="0036445D" w:rsidRDefault="00C97A1A">
      <w:pPr>
        <w:spacing w:line="288" w:lineRule="atLeast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Роутеры (ретрансляторы) НАРТИС </w:t>
      </w:r>
      <w:r>
        <w:rPr>
          <w:rFonts w:ascii="Liberation Serif" w:hAnsi="Liberation Serif" w:cs="Liberation Serif"/>
          <w:sz w:val="28"/>
          <w:szCs w:val="28"/>
          <w:lang w:val="en-US"/>
        </w:rPr>
        <w:t>RRC</w:t>
      </w:r>
      <w:r>
        <w:rPr>
          <w:rFonts w:ascii="Liberation Serif" w:hAnsi="Liberation Serif" w:cs="Liberation Serif"/>
          <w:sz w:val="28"/>
          <w:szCs w:val="28"/>
        </w:rPr>
        <w:t>-</w:t>
      </w:r>
      <w:r>
        <w:rPr>
          <w:rFonts w:ascii="Liberation Serif" w:hAnsi="Liberation Serif" w:cs="Liberation Serif"/>
          <w:sz w:val="28"/>
          <w:szCs w:val="28"/>
          <w:lang w:val="en-US"/>
        </w:rPr>
        <w:t>ZB</w:t>
      </w:r>
      <w:r>
        <w:rPr>
          <w:rFonts w:ascii="Liberation Serif" w:hAnsi="Liberation Serif" w:cs="Liberation Serif"/>
          <w:sz w:val="28"/>
          <w:szCs w:val="28"/>
        </w:rPr>
        <w:t>-01</w:t>
      </w:r>
      <w:r>
        <w:rPr>
          <w:rFonts w:ascii="Liberation Serif" w:hAnsi="Liberation Serif" w:cs="Liberation Serif"/>
          <w:sz w:val="28"/>
          <w:szCs w:val="28"/>
          <w:lang w:val="en-US"/>
        </w:rPr>
        <w:t>N</w:t>
      </w:r>
      <w:r>
        <w:rPr>
          <w:rFonts w:ascii="Liberation Serif" w:hAnsi="Liberation Serif" w:cs="Liberation Serif"/>
          <w:sz w:val="28"/>
          <w:szCs w:val="28"/>
        </w:rPr>
        <w:t xml:space="preserve"> – устройства, выполняющие автоматическую ретрансляцию сигналов с соседних </w:t>
      </w:r>
      <w:proofErr w:type="spellStart"/>
      <w:r>
        <w:rPr>
          <w:rFonts w:ascii="Liberation Serif" w:hAnsi="Liberation Serif" w:cs="Liberation Serif"/>
          <w:sz w:val="28"/>
          <w:szCs w:val="28"/>
        </w:rPr>
        <w:t>ZigBee</w:t>
      </w:r>
      <w:proofErr w:type="spellEnd"/>
      <w:r>
        <w:rPr>
          <w:rFonts w:ascii="Liberation Serif" w:hAnsi="Liberation Serif" w:cs="Liberation Serif"/>
          <w:sz w:val="28"/>
          <w:szCs w:val="28"/>
        </w:rPr>
        <w:t xml:space="preserve">-устройств (маршрутизацию сообщений). Наличие маршрутизаторов обеспечивает альтернативные варианты выбора маршрута между узлами и наиболее эффективную передачу информации при изменении внешних условий. Устройства данного типа могут одновременно осуществлять сбор и </w:t>
      </w:r>
      <w:proofErr w:type="gramStart"/>
      <w:r>
        <w:rPr>
          <w:rFonts w:ascii="Liberation Serif" w:hAnsi="Liberation Serif" w:cs="Liberation Serif"/>
          <w:sz w:val="28"/>
          <w:szCs w:val="28"/>
        </w:rPr>
        <w:t>передачу данных с подключенного исполнительного оборудования</w:t>
      </w:r>
      <w:proofErr w:type="gramEnd"/>
      <w:r>
        <w:rPr>
          <w:rFonts w:ascii="Liberation Serif" w:hAnsi="Liberation Serif" w:cs="Liberation Serif"/>
          <w:sz w:val="28"/>
          <w:szCs w:val="28"/>
        </w:rPr>
        <w:t xml:space="preserve"> и ретрансляцию, либо выполнять только ретрансляцию с соседних </w:t>
      </w:r>
      <w:proofErr w:type="spellStart"/>
      <w:r>
        <w:rPr>
          <w:rFonts w:ascii="Liberation Serif" w:hAnsi="Liberation Serif" w:cs="Liberation Serif"/>
          <w:sz w:val="28"/>
          <w:szCs w:val="28"/>
        </w:rPr>
        <w:t>ZigBee</w:t>
      </w:r>
      <w:proofErr w:type="spellEnd"/>
      <w:r>
        <w:rPr>
          <w:rFonts w:ascii="Liberation Serif" w:hAnsi="Liberation Serif" w:cs="Liberation Serif"/>
          <w:sz w:val="28"/>
          <w:szCs w:val="28"/>
        </w:rPr>
        <w:t>-устройств (роутеры беспроводной сети).</w:t>
      </w:r>
    </w:p>
    <w:p w:rsidR="0036445D" w:rsidRDefault="00C97A1A">
      <w:pPr>
        <w:spacing w:line="288" w:lineRule="atLeast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При этом шлюзы и роутеры могут выполнять свои функции не только во взаимодействии с ИПУ, но и с любыми иными устройствами, оснащенными беспроводными </w:t>
      </w:r>
      <w:proofErr w:type="spellStart"/>
      <w:r>
        <w:rPr>
          <w:rFonts w:ascii="Liberation Serif" w:hAnsi="Liberation Serif" w:cs="Liberation Serif"/>
          <w:sz w:val="28"/>
          <w:szCs w:val="28"/>
        </w:rPr>
        <w:t>ZigBee</w:t>
      </w:r>
      <w:proofErr w:type="spellEnd"/>
      <w:r>
        <w:rPr>
          <w:rFonts w:ascii="Liberation Serif" w:hAnsi="Liberation Serif" w:cs="Liberation Serif"/>
          <w:sz w:val="28"/>
          <w:szCs w:val="28"/>
        </w:rPr>
        <w:t>-модулями, что следует из описания их назначения и технических характеристик, которые даны производителем в документации по эксплуатации.</w:t>
      </w:r>
    </w:p>
    <w:p w:rsidR="0036445D" w:rsidRDefault="00C97A1A">
      <w:pPr>
        <w:spacing w:line="288" w:lineRule="atLeast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Таким образом, каналообразующее оборудование может применятся не только в качестве элемента ИСУ, но и для организации беспроводных каналов передачи данных в иных системах контроля, учета и управления технологическими объектами.</w:t>
      </w:r>
    </w:p>
    <w:p w:rsidR="0036445D" w:rsidRDefault="00C97A1A">
      <w:pPr>
        <w:spacing w:line="288" w:lineRule="atLeast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Следует также обратить внимание, что одним из квалифицирующих признаков для определения единицы учета основных средств для целей налогового учета является возможность его учета в качестве самостоятельного объекта исходя из классификации, предусмотренной Общероссийским классификатором основных фондов (принят и введен в действие Приказом Росстандарта от 12.12.2014 № 2018-ст) (далее – ОКОФ).</w:t>
      </w:r>
    </w:p>
    <w:p w:rsidR="0036445D" w:rsidRDefault="00C97A1A">
      <w:pPr>
        <w:spacing w:line="288" w:lineRule="atLeast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Данные обстоятельства дают основания для выделения их в отдельные единицы учета ОС. Поэтому для учета ИПУ, шлюзов и роутеров следует применять иной порядок, а не включение их в состав какого-либо единого ОС (например, в состав СУЭЭ по МКД). </w:t>
      </w:r>
      <w:proofErr w:type="gramStart"/>
      <w:r>
        <w:rPr>
          <w:rFonts w:ascii="Liberation Serif" w:hAnsi="Liberation Serif" w:cs="Liberation Serif"/>
          <w:sz w:val="28"/>
          <w:szCs w:val="28"/>
        </w:rPr>
        <w:t>Согласно статей</w:t>
      </w:r>
      <w:proofErr w:type="gramEnd"/>
      <w:r>
        <w:rPr>
          <w:rFonts w:ascii="Liberation Serif" w:hAnsi="Liberation Serif" w:cs="Liberation Serif"/>
          <w:sz w:val="28"/>
          <w:szCs w:val="28"/>
        </w:rPr>
        <w:t xml:space="preserve"> 254, 256, 257 НК РФ эти объекты являются </w:t>
      </w:r>
      <w:r>
        <w:rPr>
          <w:rFonts w:ascii="Liberation Serif" w:hAnsi="Liberation Serif" w:cs="Liberation Serif"/>
          <w:sz w:val="28"/>
          <w:szCs w:val="28"/>
        </w:rPr>
        <w:lastRenderedPageBreak/>
        <w:t>самостоятельными объектами учета: либо как амортизируемое имущество, если стоимость составляет более 100 000,00 руб., либо в составе материальных расходов, если стоимость менее 100 000,00 руб.</w:t>
      </w:r>
    </w:p>
    <w:p w:rsidR="0036445D" w:rsidRDefault="00C97A1A">
      <w:pPr>
        <w:spacing w:line="288" w:lineRule="atLeast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силу норм </w:t>
      </w:r>
      <w:proofErr w:type="spellStart"/>
      <w:r>
        <w:rPr>
          <w:rFonts w:ascii="Liberation Serif" w:hAnsi="Liberation Serif" w:cs="Liberation Serif"/>
          <w:sz w:val="28"/>
          <w:szCs w:val="28"/>
        </w:rPr>
        <w:t>пп</w:t>
      </w:r>
      <w:proofErr w:type="spellEnd"/>
      <w:r>
        <w:rPr>
          <w:rFonts w:ascii="Liberation Serif" w:hAnsi="Liberation Serif" w:cs="Liberation Serif"/>
          <w:sz w:val="28"/>
          <w:szCs w:val="28"/>
        </w:rPr>
        <w:t>. 3 п. 1 ст. 254 НК РФ к материальным расходам налогоплательщика, в частности, относятся затраты на приобретение инструментов, приспособлений, инвентаря, приборов и другого имущества, не являющихся амортизируемым имуществом. Стоимость такого имущества включается в состав материальных расходов в полной сумме по мере ввода его в эксплуатацию.</w:t>
      </w:r>
    </w:p>
    <w:p w:rsidR="0036445D" w:rsidRDefault="00C97A1A">
      <w:pPr>
        <w:spacing w:line="288" w:lineRule="atLeast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С учетом вышеизложенного, а также принимая во внимание, что ИПУ, шлюзы и роутеры:</w:t>
      </w:r>
    </w:p>
    <w:p w:rsidR="0036445D" w:rsidRDefault="00C97A1A">
      <w:pPr>
        <w:spacing w:line="288" w:lineRule="atLeast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способны исполнять самостоятельно определенные функции, используемые в производстве или управлении организацией;</w:t>
      </w:r>
    </w:p>
    <w:p w:rsidR="0036445D" w:rsidRDefault="00C97A1A">
      <w:pPr>
        <w:spacing w:line="288" w:lineRule="atLeast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- могут быть отнесены согласно ОКОФ к группе основных средств; </w:t>
      </w:r>
    </w:p>
    <w:p w:rsidR="0036445D" w:rsidRDefault="00C97A1A">
      <w:pPr>
        <w:spacing w:line="288" w:lineRule="atLeast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- имеют срок полезного использования более 12 месяцев,</w:t>
      </w:r>
    </w:p>
    <w:p w:rsidR="0036445D" w:rsidRDefault="00C97A1A">
      <w:pPr>
        <w:spacing w:line="288" w:lineRule="atLeast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рекомендуется признать их в качестве отдельных объектов основных средств для целей налогообложения прибыли возможным только при условии соблюдения стоимостного критерия, установленного НК РФ в размере 100 000 руб.</w:t>
      </w:r>
    </w:p>
    <w:p w:rsidR="0036445D" w:rsidRDefault="00C97A1A">
      <w:pPr>
        <w:spacing w:line="288" w:lineRule="atLeast"/>
        <w:ind w:firstLine="53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Установлено, что во всех случаях приобретения и установки ИПУ, шлюзов и роутеров их первоначальная стоимость составляла менее 100 000 руб. В связи с чем данное имущество нельзя признать амортизируемым ввиду несоответствия стоимостному критерию, установленному п. 1 ст. 256 НК РФ, и затраты на его приобретение подлежат включению в состав материальных расходов по налогу на прибыль организаций в полной сумме по мере ввода их в эксплуатацию.</w:t>
      </w:r>
    </w:p>
    <w:p w:rsidR="0036445D" w:rsidRDefault="00C97A1A">
      <w:pPr>
        <w:spacing w:line="288" w:lineRule="atLeast"/>
        <w:ind w:firstLine="540"/>
        <w:jc w:val="both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 </w:t>
      </w:r>
      <w:bookmarkStart w:id="1" w:name="_GoBack"/>
      <w:bookmarkEnd w:id="1"/>
    </w:p>
    <w:sectPr w:rsidR="0036445D">
      <w:footerReference w:type="default" r:id="rId14"/>
      <w:pgSz w:w="11900" w:h="16840"/>
      <w:pgMar w:top="1418" w:right="709" w:bottom="1134" w:left="1134" w:header="709" w:footer="709" w:gutter="0"/>
      <w:pgNumType w:start="1"/>
      <w:cols w:space="720"/>
      <w:titlePg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nischerikova_aa" w:date="2025-09-25T10:40:00Z" w:initials="n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Полагаем целесообразным участие коллег ФЭЦ в совещании</w:t>
      </w:r>
    </w:p>
  </w:comment>
  <w:comment w:id="1" w:author="Моргун Игорь Васильевич" w:date="2025-09-25T13:48:00Z" w:initials="МИВ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Информация уточняется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2" w15:done="0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3ECEE02E"/>
  <w16cid:commentId w16cid:paraId="00000002" w16cid:durableId="034C75E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271F" w:rsidRDefault="001B271F">
      <w:r>
        <w:separator/>
      </w:r>
    </w:p>
  </w:endnote>
  <w:endnote w:type="continuationSeparator" w:id="0">
    <w:p w:rsidR="001B271F" w:rsidRDefault="001B271F">
      <w:r>
        <w:continuationSeparator/>
      </w:r>
    </w:p>
  </w:endnote>
  <w:endnote w:type="continuationNotice" w:id="1">
    <w:p w:rsidR="001B271F" w:rsidRDefault="001B27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00"/>
    <w:family w:val="auto"/>
    <w:pitch w:val="default"/>
  </w:font>
  <w:font w:name="Helvetica Neue">
    <w:altName w:val="Arial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NewRomanPSMT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445D" w:rsidRDefault="0036445D">
    <w:pPr>
      <w:pStyle w:val="ad"/>
      <w:jc w:val="right"/>
    </w:pPr>
  </w:p>
  <w:p w:rsidR="0036445D" w:rsidRDefault="0036445D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271F" w:rsidRDefault="001B271F">
      <w:r>
        <w:separator/>
      </w:r>
    </w:p>
  </w:footnote>
  <w:footnote w:type="continuationSeparator" w:id="0">
    <w:p w:rsidR="001B271F" w:rsidRDefault="001B271F">
      <w:r>
        <w:continuationSeparator/>
      </w:r>
    </w:p>
  </w:footnote>
  <w:footnote w:type="continuationNotice" w:id="1">
    <w:p w:rsidR="001B271F" w:rsidRDefault="001B271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D90696"/>
    <w:multiLevelType w:val="hybridMultilevel"/>
    <w:tmpl w:val="9AAC2CEA"/>
    <w:lvl w:ilvl="0" w:tplc="611018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50ED832">
      <w:start w:val="1"/>
      <w:numFmt w:val="lowerLetter"/>
      <w:lvlText w:val="%2."/>
      <w:lvlJc w:val="left"/>
      <w:pPr>
        <w:ind w:left="1440" w:hanging="360"/>
      </w:pPr>
    </w:lvl>
    <w:lvl w:ilvl="2" w:tplc="73761792">
      <w:start w:val="1"/>
      <w:numFmt w:val="lowerRoman"/>
      <w:lvlText w:val="%3."/>
      <w:lvlJc w:val="right"/>
      <w:pPr>
        <w:ind w:left="2160" w:hanging="180"/>
      </w:pPr>
    </w:lvl>
    <w:lvl w:ilvl="3" w:tplc="A7A03D20">
      <w:start w:val="1"/>
      <w:numFmt w:val="decimal"/>
      <w:lvlText w:val="%4."/>
      <w:lvlJc w:val="left"/>
      <w:pPr>
        <w:ind w:left="2880" w:hanging="360"/>
      </w:pPr>
    </w:lvl>
    <w:lvl w:ilvl="4" w:tplc="6D96B5DE">
      <w:start w:val="1"/>
      <w:numFmt w:val="lowerLetter"/>
      <w:lvlText w:val="%5."/>
      <w:lvlJc w:val="left"/>
      <w:pPr>
        <w:ind w:left="3600" w:hanging="360"/>
      </w:pPr>
    </w:lvl>
    <w:lvl w:ilvl="5" w:tplc="AD9CBB22">
      <w:start w:val="1"/>
      <w:numFmt w:val="lowerRoman"/>
      <w:lvlText w:val="%6."/>
      <w:lvlJc w:val="right"/>
      <w:pPr>
        <w:ind w:left="4320" w:hanging="180"/>
      </w:pPr>
    </w:lvl>
    <w:lvl w:ilvl="6" w:tplc="A7D6675C">
      <w:start w:val="1"/>
      <w:numFmt w:val="decimal"/>
      <w:lvlText w:val="%7."/>
      <w:lvlJc w:val="left"/>
      <w:pPr>
        <w:ind w:left="5040" w:hanging="360"/>
      </w:pPr>
    </w:lvl>
    <w:lvl w:ilvl="7" w:tplc="B65A3D30">
      <w:start w:val="1"/>
      <w:numFmt w:val="lowerLetter"/>
      <w:lvlText w:val="%8."/>
      <w:lvlJc w:val="left"/>
      <w:pPr>
        <w:ind w:left="5760" w:hanging="360"/>
      </w:pPr>
    </w:lvl>
    <w:lvl w:ilvl="8" w:tplc="A6B4E94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5245E"/>
    <w:multiLevelType w:val="hybridMultilevel"/>
    <w:tmpl w:val="DE2E2124"/>
    <w:lvl w:ilvl="0" w:tplc="AB22C6C8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  <w:b w:val="0"/>
        <w:color w:val="auto"/>
      </w:rPr>
    </w:lvl>
    <w:lvl w:ilvl="1" w:tplc="83747412">
      <w:start w:val="1"/>
      <w:numFmt w:val="lowerLetter"/>
      <w:lvlText w:val="%2."/>
      <w:lvlJc w:val="left"/>
      <w:pPr>
        <w:ind w:left="1789" w:hanging="360"/>
      </w:pPr>
    </w:lvl>
    <w:lvl w:ilvl="2" w:tplc="3B220448">
      <w:start w:val="1"/>
      <w:numFmt w:val="lowerRoman"/>
      <w:lvlText w:val="%3."/>
      <w:lvlJc w:val="right"/>
      <w:pPr>
        <w:ind w:left="2509" w:hanging="180"/>
      </w:pPr>
    </w:lvl>
    <w:lvl w:ilvl="3" w:tplc="7D92B25E">
      <w:start w:val="1"/>
      <w:numFmt w:val="decimal"/>
      <w:lvlText w:val="%4."/>
      <w:lvlJc w:val="left"/>
      <w:pPr>
        <w:ind w:left="3229" w:hanging="360"/>
      </w:pPr>
    </w:lvl>
    <w:lvl w:ilvl="4" w:tplc="5D8C39A4">
      <w:start w:val="1"/>
      <w:numFmt w:val="lowerLetter"/>
      <w:lvlText w:val="%5."/>
      <w:lvlJc w:val="left"/>
      <w:pPr>
        <w:ind w:left="3949" w:hanging="360"/>
      </w:pPr>
    </w:lvl>
    <w:lvl w:ilvl="5" w:tplc="B4025FAE">
      <w:start w:val="1"/>
      <w:numFmt w:val="lowerRoman"/>
      <w:lvlText w:val="%6."/>
      <w:lvlJc w:val="right"/>
      <w:pPr>
        <w:ind w:left="4669" w:hanging="180"/>
      </w:pPr>
    </w:lvl>
    <w:lvl w:ilvl="6" w:tplc="FC446E82">
      <w:start w:val="1"/>
      <w:numFmt w:val="decimal"/>
      <w:lvlText w:val="%7."/>
      <w:lvlJc w:val="left"/>
      <w:pPr>
        <w:ind w:left="5389" w:hanging="360"/>
      </w:pPr>
    </w:lvl>
    <w:lvl w:ilvl="7" w:tplc="E460BFD2">
      <w:start w:val="1"/>
      <w:numFmt w:val="lowerLetter"/>
      <w:lvlText w:val="%8."/>
      <w:lvlJc w:val="left"/>
      <w:pPr>
        <w:ind w:left="6109" w:hanging="360"/>
      </w:pPr>
    </w:lvl>
    <w:lvl w:ilvl="8" w:tplc="89F8642E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5812744"/>
    <w:multiLevelType w:val="hybridMultilevel"/>
    <w:tmpl w:val="0950C25A"/>
    <w:lvl w:ilvl="0" w:tplc="96664E88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1424FDFA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1272ED88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F81E3024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343C2F9A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A7C81DCA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4E3A58EC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CAA4A5A0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61EACEA6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7B05E8D"/>
    <w:multiLevelType w:val="hybridMultilevel"/>
    <w:tmpl w:val="2A789552"/>
    <w:lvl w:ilvl="0" w:tplc="D27C66B8">
      <w:start w:val="1"/>
      <w:numFmt w:val="decimal"/>
      <w:lvlText w:val="%1."/>
      <w:lvlJc w:val="left"/>
      <w:pPr>
        <w:ind w:left="709" w:hanging="360"/>
      </w:pPr>
    </w:lvl>
    <w:lvl w:ilvl="1" w:tplc="265037A8">
      <w:start w:val="1"/>
      <w:numFmt w:val="lowerLetter"/>
      <w:lvlText w:val="%2."/>
      <w:lvlJc w:val="left"/>
      <w:pPr>
        <w:ind w:left="1429" w:hanging="360"/>
      </w:pPr>
    </w:lvl>
    <w:lvl w:ilvl="2" w:tplc="8E1EBB76">
      <w:start w:val="1"/>
      <w:numFmt w:val="lowerRoman"/>
      <w:lvlText w:val="%3."/>
      <w:lvlJc w:val="right"/>
      <w:pPr>
        <w:ind w:left="2149" w:hanging="180"/>
      </w:pPr>
    </w:lvl>
    <w:lvl w:ilvl="3" w:tplc="3EF6E670">
      <w:start w:val="1"/>
      <w:numFmt w:val="decimal"/>
      <w:lvlText w:val="%4."/>
      <w:lvlJc w:val="left"/>
      <w:pPr>
        <w:ind w:left="2869" w:hanging="360"/>
      </w:pPr>
    </w:lvl>
    <w:lvl w:ilvl="4" w:tplc="FFE48B88">
      <w:start w:val="1"/>
      <w:numFmt w:val="lowerLetter"/>
      <w:lvlText w:val="%5."/>
      <w:lvlJc w:val="left"/>
      <w:pPr>
        <w:ind w:left="3589" w:hanging="360"/>
      </w:pPr>
    </w:lvl>
    <w:lvl w:ilvl="5" w:tplc="7DF23DF6">
      <w:start w:val="1"/>
      <w:numFmt w:val="lowerRoman"/>
      <w:lvlText w:val="%6."/>
      <w:lvlJc w:val="right"/>
      <w:pPr>
        <w:ind w:left="4309" w:hanging="180"/>
      </w:pPr>
    </w:lvl>
    <w:lvl w:ilvl="6" w:tplc="80AA744E">
      <w:start w:val="1"/>
      <w:numFmt w:val="decimal"/>
      <w:lvlText w:val="%7."/>
      <w:lvlJc w:val="left"/>
      <w:pPr>
        <w:ind w:left="5029" w:hanging="360"/>
      </w:pPr>
    </w:lvl>
    <w:lvl w:ilvl="7" w:tplc="5F968A14">
      <w:start w:val="1"/>
      <w:numFmt w:val="lowerLetter"/>
      <w:lvlText w:val="%8."/>
      <w:lvlJc w:val="left"/>
      <w:pPr>
        <w:ind w:left="5749" w:hanging="360"/>
      </w:pPr>
    </w:lvl>
    <w:lvl w:ilvl="8" w:tplc="A77CA958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18246106"/>
    <w:multiLevelType w:val="hybridMultilevel"/>
    <w:tmpl w:val="D218780E"/>
    <w:lvl w:ilvl="0" w:tplc="5740B1EA">
      <w:start w:val="1"/>
      <w:numFmt w:val="decimal"/>
      <w:lvlText w:val="%1."/>
      <w:lvlJc w:val="left"/>
      <w:pPr>
        <w:ind w:left="1418" w:hanging="360"/>
      </w:pPr>
    </w:lvl>
    <w:lvl w:ilvl="1" w:tplc="132A7E0C">
      <w:start w:val="1"/>
      <w:numFmt w:val="lowerLetter"/>
      <w:lvlText w:val="%2."/>
      <w:lvlJc w:val="left"/>
      <w:pPr>
        <w:ind w:left="2138" w:hanging="360"/>
      </w:pPr>
    </w:lvl>
    <w:lvl w:ilvl="2" w:tplc="32F2F8BC">
      <w:start w:val="1"/>
      <w:numFmt w:val="lowerRoman"/>
      <w:lvlText w:val="%3."/>
      <w:lvlJc w:val="right"/>
      <w:pPr>
        <w:ind w:left="2858" w:hanging="180"/>
      </w:pPr>
    </w:lvl>
    <w:lvl w:ilvl="3" w:tplc="DB8078B8">
      <w:start w:val="1"/>
      <w:numFmt w:val="decimal"/>
      <w:lvlText w:val="%4."/>
      <w:lvlJc w:val="left"/>
      <w:pPr>
        <w:ind w:left="3578" w:hanging="360"/>
      </w:pPr>
    </w:lvl>
    <w:lvl w:ilvl="4" w:tplc="A2007CB0">
      <w:start w:val="1"/>
      <w:numFmt w:val="lowerLetter"/>
      <w:lvlText w:val="%5."/>
      <w:lvlJc w:val="left"/>
      <w:pPr>
        <w:ind w:left="4298" w:hanging="360"/>
      </w:pPr>
    </w:lvl>
    <w:lvl w:ilvl="5" w:tplc="DFF42892">
      <w:start w:val="1"/>
      <w:numFmt w:val="lowerRoman"/>
      <w:lvlText w:val="%6."/>
      <w:lvlJc w:val="right"/>
      <w:pPr>
        <w:ind w:left="5018" w:hanging="180"/>
      </w:pPr>
    </w:lvl>
    <w:lvl w:ilvl="6" w:tplc="D61EEF44">
      <w:start w:val="1"/>
      <w:numFmt w:val="decimal"/>
      <w:lvlText w:val="%7."/>
      <w:lvlJc w:val="left"/>
      <w:pPr>
        <w:ind w:left="5738" w:hanging="360"/>
      </w:pPr>
    </w:lvl>
    <w:lvl w:ilvl="7" w:tplc="ABFA3E1E">
      <w:start w:val="1"/>
      <w:numFmt w:val="lowerLetter"/>
      <w:lvlText w:val="%8."/>
      <w:lvlJc w:val="left"/>
      <w:pPr>
        <w:ind w:left="6458" w:hanging="360"/>
      </w:pPr>
    </w:lvl>
    <w:lvl w:ilvl="8" w:tplc="55C00DC2">
      <w:start w:val="1"/>
      <w:numFmt w:val="lowerRoman"/>
      <w:lvlText w:val="%9."/>
      <w:lvlJc w:val="right"/>
      <w:pPr>
        <w:ind w:left="7178" w:hanging="180"/>
      </w:pPr>
    </w:lvl>
  </w:abstractNum>
  <w:abstractNum w:abstractNumId="5" w15:restartNumberingAfterBreak="0">
    <w:nsid w:val="190C0602"/>
    <w:multiLevelType w:val="hybridMultilevel"/>
    <w:tmpl w:val="469AE6C0"/>
    <w:lvl w:ilvl="0" w:tplc="09B01D2C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</w:rPr>
    </w:lvl>
    <w:lvl w:ilvl="1" w:tplc="9D3468BE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C78CE9D8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C908E1F4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140D926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120A564A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D2B0570C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E0A23E00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17EE4D7C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6" w15:restartNumberingAfterBreak="0">
    <w:nsid w:val="1BCE6C7B"/>
    <w:multiLevelType w:val="hybridMultilevel"/>
    <w:tmpl w:val="18526BAC"/>
    <w:styleLink w:val="5"/>
    <w:lvl w:ilvl="0" w:tplc="09EC0C82">
      <w:start w:val="1"/>
      <w:numFmt w:val="decimal"/>
      <w:pStyle w:val="5"/>
      <w:lvlText w:val="%1)"/>
      <w:lvlJc w:val="left"/>
      <w:pPr>
        <w:ind w:left="720" w:hanging="36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1" w:tplc="1C76272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2" w:tplc="0B2607BA">
      <w:start w:val="1"/>
      <w:numFmt w:val="lowerRoman"/>
      <w:lvlText w:val="%3."/>
      <w:lvlJc w:val="left"/>
      <w:pPr>
        <w:ind w:left="2160" w:hanging="32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3" w:tplc="C6E6EFC6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4" w:tplc="18CCAC7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5" w:tplc="1018A93C">
      <w:start w:val="1"/>
      <w:numFmt w:val="lowerRoman"/>
      <w:lvlText w:val="%6."/>
      <w:lvlJc w:val="left"/>
      <w:pPr>
        <w:ind w:left="4320" w:hanging="32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6" w:tplc="1312EB7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7" w:tplc="CA00FE0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8" w:tplc="03ECEFEA">
      <w:start w:val="1"/>
      <w:numFmt w:val="lowerRoman"/>
      <w:lvlText w:val="%9."/>
      <w:lvlJc w:val="left"/>
      <w:pPr>
        <w:ind w:left="6480" w:hanging="32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</w:abstractNum>
  <w:abstractNum w:abstractNumId="7" w15:restartNumberingAfterBreak="0">
    <w:nsid w:val="1C0F1028"/>
    <w:multiLevelType w:val="hybridMultilevel"/>
    <w:tmpl w:val="2342DCA2"/>
    <w:styleLink w:val="1"/>
    <w:lvl w:ilvl="0" w:tplc="BB5642D6">
      <w:start w:val="1"/>
      <w:numFmt w:val="decimal"/>
      <w:pStyle w:val="1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1" w:tplc="9280A9C8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2" w:tplc="F22E6A66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3" w:tplc="404E78F0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4" w:tplc="14D460B8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5" w:tplc="E25EE7E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6" w:tplc="6278098C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7" w:tplc="B426BFA8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8" w:tplc="4968A270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color w:val="000000"/>
        <w:spacing w:val="0"/>
        <w:position w:val="0"/>
        <w:highlight w:val="none"/>
        <w:vertAlign w:val="baseline"/>
      </w:rPr>
    </w:lvl>
  </w:abstractNum>
  <w:abstractNum w:abstractNumId="8" w15:restartNumberingAfterBreak="0">
    <w:nsid w:val="1C7E33B5"/>
    <w:multiLevelType w:val="hybridMultilevel"/>
    <w:tmpl w:val="D58616F6"/>
    <w:lvl w:ilvl="0" w:tplc="5F664986">
      <w:start w:val="1"/>
      <w:numFmt w:val="decimal"/>
      <w:lvlText w:val="%1."/>
      <w:lvlJc w:val="left"/>
      <w:pPr>
        <w:ind w:left="709" w:hanging="360"/>
      </w:pPr>
    </w:lvl>
    <w:lvl w:ilvl="1" w:tplc="05CCC3D2">
      <w:start w:val="1"/>
      <w:numFmt w:val="lowerLetter"/>
      <w:lvlText w:val="%2."/>
      <w:lvlJc w:val="left"/>
      <w:pPr>
        <w:ind w:left="1429" w:hanging="360"/>
      </w:pPr>
    </w:lvl>
    <w:lvl w:ilvl="2" w:tplc="EEB0823A">
      <w:start w:val="1"/>
      <w:numFmt w:val="lowerRoman"/>
      <w:lvlText w:val="%3."/>
      <w:lvlJc w:val="right"/>
      <w:pPr>
        <w:ind w:left="2149" w:hanging="180"/>
      </w:pPr>
    </w:lvl>
    <w:lvl w:ilvl="3" w:tplc="73F4E57A">
      <w:start w:val="1"/>
      <w:numFmt w:val="decimal"/>
      <w:lvlText w:val="%4."/>
      <w:lvlJc w:val="left"/>
      <w:pPr>
        <w:ind w:left="2869" w:hanging="360"/>
      </w:pPr>
    </w:lvl>
    <w:lvl w:ilvl="4" w:tplc="351E46C6">
      <w:start w:val="1"/>
      <w:numFmt w:val="lowerLetter"/>
      <w:lvlText w:val="%5."/>
      <w:lvlJc w:val="left"/>
      <w:pPr>
        <w:ind w:left="3589" w:hanging="360"/>
      </w:pPr>
    </w:lvl>
    <w:lvl w:ilvl="5" w:tplc="69FA1BD8">
      <w:start w:val="1"/>
      <w:numFmt w:val="lowerRoman"/>
      <w:lvlText w:val="%6."/>
      <w:lvlJc w:val="right"/>
      <w:pPr>
        <w:ind w:left="4309" w:hanging="180"/>
      </w:pPr>
    </w:lvl>
    <w:lvl w:ilvl="6" w:tplc="8D56A352">
      <w:start w:val="1"/>
      <w:numFmt w:val="decimal"/>
      <w:lvlText w:val="%7."/>
      <w:lvlJc w:val="left"/>
      <w:pPr>
        <w:ind w:left="5029" w:hanging="360"/>
      </w:pPr>
    </w:lvl>
    <w:lvl w:ilvl="7" w:tplc="033EBA70">
      <w:start w:val="1"/>
      <w:numFmt w:val="lowerLetter"/>
      <w:lvlText w:val="%8."/>
      <w:lvlJc w:val="left"/>
      <w:pPr>
        <w:ind w:left="5749" w:hanging="360"/>
      </w:pPr>
    </w:lvl>
    <w:lvl w:ilvl="8" w:tplc="CE58AAC4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1F34515C"/>
    <w:multiLevelType w:val="hybridMultilevel"/>
    <w:tmpl w:val="1DB04D4E"/>
    <w:styleLink w:val="4"/>
    <w:lvl w:ilvl="0" w:tplc="3C3C2A8E">
      <w:start w:val="1"/>
      <w:numFmt w:val="decimal"/>
      <w:pStyle w:val="4"/>
      <w:lvlText w:val="%1."/>
      <w:lvlJc w:val="left"/>
      <w:pPr>
        <w:ind w:left="720" w:hanging="36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1" w:tplc="FB964F4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2" w:tplc="0B0AE936">
      <w:start w:val="1"/>
      <w:numFmt w:val="lowerRoman"/>
      <w:lvlText w:val="%3."/>
      <w:lvlJc w:val="left"/>
      <w:pPr>
        <w:ind w:left="2160" w:hanging="32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3" w:tplc="4ADC492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4" w:tplc="3ECC6E9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5" w:tplc="B986C518">
      <w:start w:val="1"/>
      <w:numFmt w:val="lowerRoman"/>
      <w:lvlText w:val="%6."/>
      <w:lvlJc w:val="left"/>
      <w:pPr>
        <w:ind w:left="4320" w:hanging="32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6" w:tplc="BA2490F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7" w:tplc="3DFC4C5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8" w:tplc="3E8ABF22">
      <w:start w:val="1"/>
      <w:numFmt w:val="lowerRoman"/>
      <w:lvlText w:val="%9."/>
      <w:lvlJc w:val="left"/>
      <w:pPr>
        <w:ind w:left="6480" w:hanging="32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</w:abstractNum>
  <w:abstractNum w:abstractNumId="10" w15:restartNumberingAfterBreak="0">
    <w:nsid w:val="209D5CF2"/>
    <w:multiLevelType w:val="hybridMultilevel"/>
    <w:tmpl w:val="1054E2DA"/>
    <w:lvl w:ilvl="0" w:tplc="6D8AD1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638A11DC">
      <w:start w:val="1"/>
      <w:numFmt w:val="lowerLetter"/>
      <w:lvlText w:val="%2."/>
      <w:lvlJc w:val="left"/>
      <w:pPr>
        <w:ind w:left="1440" w:hanging="360"/>
      </w:pPr>
    </w:lvl>
    <w:lvl w:ilvl="2" w:tplc="96026A70">
      <w:start w:val="1"/>
      <w:numFmt w:val="lowerRoman"/>
      <w:lvlText w:val="%3."/>
      <w:lvlJc w:val="right"/>
      <w:pPr>
        <w:ind w:left="2160" w:hanging="180"/>
      </w:pPr>
    </w:lvl>
    <w:lvl w:ilvl="3" w:tplc="C1CC3D1C">
      <w:start w:val="1"/>
      <w:numFmt w:val="decimal"/>
      <w:lvlText w:val="%4."/>
      <w:lvlJc w:val="left"/>
      <w:pPr>
        <w:ind w:left="2880" w:hanging="360"/>
      </w:pPr>
    </w:lvl>
    <w:lvl w:ilvl="4" w:tplc="A4B896A4">
      <w:start w:val="1"/>
      <w:numFmt w:val="lowerLetter"/>
      <w:lvlText w:val="%5."/>
      <w:lvlJc w:val="left"/>
      <w:pPr>
        <w:ind w:left="3600" w:hanging="360"/>
      </w:pPr>
    </w:lvl>
    <w:lvl w:ilvl="5" w:tplc="7C6CE0A4">
      <w:start w:val="1"/>
      <w:numFmt w:val="lowerRoman"/>
      <w:lvlText w:val="%6."/>
      <w:lvlJc w:val="right"/>
      <w:pPr>
        <w:ind w:left="4320" w:hanging="180"/>
      </w:pPr>
    </w:lvl>
    <w:lvl w:ilvl="6" w:tplc="796EE578">
      <w:start w:val="1"/>
      <w:numFmt w:val="decimal"/>
      <w:lvlText w:val="%7."/>
      <w:lvlJc w:val="left"/>
      <w:pPr>
        <w:ind w:left="5040" w:hanging="360"/>
      </w:pPr>
    </w:lvl>
    <w:lvl w:ilvl="7" w:tplc="B8E6F2D2">
      <w:start w:val="1"/>
      <w:numFmt w:val="lowerLetter"/>
      <w:lvlText w:val="%8."/>
      <w:lvlJc w:val="left"/>
      <w:pPr>
        <w:ind w:left="5760" w:hanging="360"/>
      </w:pPr>
    </w:lvl>
    <w:lvl w:ilvl="8" w:tplc="F0A236A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44DD4"/>
    <w:multiLevelType w:val="hybridMultilevel"/>
    <w:tmpl w:val="0082B204"/>
    <w:lvl w:ilvl="0" w:tplc="C9208802">
      <w:start w:val="1"/>
      <w:numFmt w:val="decimal"/>
      <w:lvlText w:val="%1."/>
      <w:lvlJc w:val="left"/>
      <w:pPr>
        <w:ind w:left="709" w:hanging="360"/>
      </w:pPr>
    </w:lvl>
    <w:lvl w:ilvl="1" w:tplc="2DD6E0E4">
      <w:start w:val="1"/>
      <w:numFmt w:val="lowerLetter"/>
      <w:lvlText w:val="%2."/>
      <w:lvlJc w:val="left"/>
      <w:pPr>
        <w:ind w:left="1429" w:hanging="360"/>
      </w:pPr>
    </w:lvl>
    <w:lvl w:ilvl="2" w:tplc="2F08AFE6">
      <w:start w:val="1"/>
      <w:numFmt w:val="lowerRoman"/>
      <w:lvlText w:val="%3."/>
      <w:lvlJc w:val="right"/>
      <w:pPr>
        <w:ind w:left="2149" w:hanging="180"/>
      </w:pPr>
    </w:lvl>
    <w:lvl w:ilvl="3" w:tplc="8348E80C">
      <w:start w:val="1"/>
      <w:numFmt w:val="decimal"/>
      <w:lvlText w:val="%4."/>
      <w:lvlJc w:val="left"/>
      <w:pPr>
        <w:ind w:left="2869" w:hanging="360"/>
      </w:pPr>
    </w:lvl>
    <w:lvl w:ilvl="4" w:tplc="A1548DFA">
      <w:start w:val="1"/>
      <w:numFmt w:val="lowerLetter"/>
      <w:lvlText w:val="%5."/>
      <w:lvlJc w:val="left"/>
      <w:pPr>
        <w:ind w:left="3589" w:hanging="360"/>
      </w:pPr>
    </w:lvl>
    <w:lvl w:ilvl="5" w:tplc="3AEE2B72">
      <w:start w:val="1"/>
      <w:numFmt w:val="lowerRoman"/>
      <w:lvlText w:val="%6."/>
      <w:lvlJc w:val="right"/>
      <w:pPr>
        <w:ind w:left="4309" w:hanging="180"/>
      </w:pPr>
    </w:lvl>
    <w:lvl w:ilvl="6" w:tplc="2FCE416C">
      <w:start w:val="1"/>
      <w:numFmt w:val="decimal"/>
      <w:lvlText w:val="%7."/>
      <w:lvlJc w:val="left"/>
      <w:pPr>
        <w:ind w:left="5029" w:hanging="360"/>
      </w:pPr>
    </w:lvl>
    <w:lvl w:ilvl="7" w:tplc="53D0B568">
      <w:start w:val="1"/>
      <w:numFmt w:val="lowerLetter"/>
      <w:lvlText w:val="%8."/>
      <w:lvlJc w:val="left"/>
      <w:pPr>
        <w:ind w:left="5749" w:hanging="360"/>
      </w:pPr>
    </w:lvl>
    <w:lvl w:ilvl="8" w:tplc="CC428F38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3A453AEF"/>
    <w:multiLevelType w:val="hybridMultilevel"/>
    <w:tmpl w:val="43BE343C"/>
    <w:lvl w:ilvl="0" w:tplc="4A0C2A4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57803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AE46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D8C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829B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26C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58EAC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38E3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C237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A6C99"/>
    <w:multiLevelType w:val="hybridMultilevel"/>
    <w:tmpl w:val="0220EE2E"/>
    <w:lvl w:ilvl="0" w:tplc="1D3E5480">
      <w:start w:val="1"/>
      <w:numFmt w:val="decimal"/>
      <w:lvlText w:val="%1."/>
      <w:lvlJc w:val="left"/>
      <w:pPr>
        <w:ind w:left="709" w:hanging="360"/>
      </w:pPr>
    </w:lvl>
    <w:lvl w:ilvl="1" w:tplc="287C8BA8">
      <w:start w:val="1"/>
      <w:numFmt w:val="lowerLetter"/>
      <w:lvlText w:val="%2."/>
      <w:lvlJc w:val="left"/>
      <w:pPr>
        <w:ind w:left="1429" w:hanging="360"/>
      </w:pPr>
    </w:lvl>
    <w:lvl w:ilvl="2" w:tplc="2F1248F6">
      <w:start w:val="1"/>
      <w:numFmt w:val="lowerRoman"/>
      <w:lvlText w:val="%3."/>
      <w:lvlJc w:val="right"/>
      <w:pPr>
        <w:ind w:left="2149" w:hanging="180"/>
      </w:pPr>
    </w:lvl>
    <w:lvl w:ilvl="3" w:tplc="936C3C3C">
      <w:start w:val="1"/>
      <w:numFmt w:val="decimal"/>
      <w:lvlText w:val="%4."/>
      <w:lvlJc w:val="left"/>
      <w:pPr>
        <w:ind w:left="2869" w:hanging="360"/>
      </w:pPr>
    </w:lvl>
    <w:lvl w:ilvl="4" w:tplc="23980AEC">
      <w:start w:val="1"/>
      <w:numFmt w:val="lowerLetter"/>
      <w:lvlText w:val="%5."/>
      <w:lvlJc w:val="left"/>
      <w:pPr>
        <w:ind w:left="3589" w:hanging="360"/>
      </w:pPr>
    </w:lvl>
    <w:lvl w:ilvl="5" w:tplc="8006D890">
      <w:start w:val="1"/>
      <w:numFmt w:val="lowerRoman"/>
      <w:lvlText w:val="%6."/>
      <w:lvlJc w:val="right"/>
      <w:pPr>
        <w:ind w:left="4309" w:hanging="180"/>
      </w:pPr>
    </w:lvl>
    <w:lvl w:ilvl="6" w:tplc="A8762960">
      <w:start w:val="1"/>
      <w:numFmt w:val="decimal"/>
      <w:lvlText w:val="%7."/>
      <w:lvlJc w:val="left"/>
      <w:pPr>
        <w:ind w:left="5029" w:hanging="360"/>
      </w:pPr>
    </w:lvl>
    <w:lvl w:ilvl="7" w:tplc="8BA48E76">
      <w:start w:val="1"/>
      <w:numFmt w:val="lowerLetter"/>
      <w:lvlText w:val="%8."/>
      <w:lvlJc w:val="left"/>
      <w:pPr>
        <w:ind w:left="5749" w:hanging="360"/>
      </w:pPr>
    </w:lvl>
    <w:lvl w:ilvl="8" w:tplc="C02E3814">
      <w:start w:val="1"/>
      <w:numFmt w:val="lowerRoman"/>
      <w:lvlText w:val="%9."/>
      <w:lvlJc w:val="right"/>
      <w:pPr>
        <w:ind w:left="6469" w:hanging="180"/>
      </w:pPr>
    </w:lvl>
  </w:abstractNum>
  <w:abstractNum w:abstractNumId="14" w15:restartNumberingAfterBreak="0">
    <w:nsid w:val="3EE05451"/>
    <w:multiLevelType w:val="multilevel"/>
    <w:tmpl w:val="77C6454C"/>
    <w:lvl w:ilvl="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245125F"/>
    <w:multiLevelType w:val="hybridMultilevel"/>
    <w:tmpl w:val="EE32A4C2"/>
    <w:lvl w:ilvl="0" w:tplc="3842C23A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E7C89DFE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9B3AAFBE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9D60EC8A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F190B7FE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275A0924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177C59AE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BBAC44C0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C82488C0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47321F8C"/>
    <w:multiLevelType w:val="hybridMultilevel"/>
    <w:tmpl w:val="E8F0039A"/>
    <w:lvl w:ilvl="0" w:tplc="7556D7C4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15AA8C1C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98069024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48E27046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C1C8AA68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EA06865E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345E730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449A5C0E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DCDA599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47EE3849"/>
    <w:multiLevelType w:val="hybridMultilevel"/>
    <w:tmpl w:val="126AA924"/>
    <w:lvl w:ilvl="0" w:tplc="69BCEB9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A6E17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F8EB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E469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605B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9E35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3022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1A81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FCAE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FD36A6"/>
    <w:multiLevelType w:val="hybridMultilevel"/>
    <w:tmpl w:val="7CAC3D56"/>
    <w:lvl w:ilvl="0" w:tplc="766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F5D6D7EC">
      <w:start w:val="1"/>
      <w:numFmt w:val="lowerLetter"/>
      <w:lvlText w:val="%2."/>
      <w:lvlJc w:val="left"/>
      <w:pPr>
        <w:ind w:left="1440" w:hanging="360"/>
      </w:pPr>
    </w:lvl>
    <w:lvl w:ilvl="2" w:tplc="F7286160">
      <w:start w:val="1"/>
      <w:numFmt w:val="lowerRoman"/>
      <w:lvlText w:val="%3."/>
      <w:lvlJc w:val="right"/>
      <w:pPr>
        <w:ind w:left="2160" w:hanging="180"/>
      </w:pPr>
    </w:lvl>
    <w:lvl w:ilvl="3" w:tplc="23E6B89C">
      <w:start w:val="1"/>
      <w:numFmt w:val="decimal"/>
      <w:lvlText w:val="%4."/>
      <w:lvlJc w:val="left"/>
      <w:pPr>
        <w:ind w:left="2880" w:hanging="360"/>
      </w:pPr>
    </w:lvl>
    <w:lvl w:ilvl="4" w:tplc="C6C293A0">
      <w:start w:val="1"/>
      <w:numFmt w:val="lowerLetter"/>
      <w:lvlText w:val="%5."/>
      <w:lvlJc w:val="left"/>
      <w:pPr>
        <w:ind w:left="3600" w:hanging="360"/>
      </w:pPr>
    </w:lvl>
    <w:lvl w:ilvl="5" w:tplc="C60E7CE0">
      <w:start w:val="1"/>
      <w:numFmt w:val="lowerRoman"/>
      <w:lvlText w:val="%6."/>
      <w:lvlJc w:val="right"/>
      <w:pPr>
        <w:ind w:left="4320" w:hanging="180"/>
      </w:pPr>
    </w:lvl>
    <w:lvl w:ilvl="6" w:tplc="FEC0D77A">
      <w:start w:val="1"/>
      <w:numFmt w:val="decimal"/>
      <w:lvlText w:val="%7."/>
      <w:lvlJc w:val="left"/>
      <w:pPr>
        <w:ind w:left="5040" w:hanging="360"/>
      </w:pPr>
    </w:lvl>
    <w:lvl w:ilvl="7" w:tplc="1C8465A0">
      <w:start w:val="1"/>
      <w:numFmt w:val="lowerLetter"/>
      <w:lvlText w:val="%8."/>
      <w:lvlJc w:val="left"/>
      <w:pPr>
        <w:ind w:left="5760" w:hanging="360"/>
      </w:pPr>
    </w:lvl>
    <w:lvl w:ilvl="8" w:tplc="0D143456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F23DC2"/>
    <w:multiLevelType w:val="hybridMultilevel"/>
    <w:tmpl w:val="EC8A0E3A"/>
    <w:lvl w:ilvl="0" w:tplc="461867BA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DD4AE1C8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3730970A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FFC2590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F058E592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BA2E086C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5C940950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C714C11C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0BBC75B8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4F2509F3"/>
    <w:multiLevelType w:val="hybridMultilevel"/>
    <w:tmpl w:val="E460DDF0"/>
    <w:lvl w:ilvl="0" w:tplc="FDB83A1C">
      <w:start w:val="1"/>
      <w:numFmt w:val="decimal"/>
      <w:lvlText w:val="%1."/>
      <w:lvlJc w:val="left"/>
      <w:pPr>
        <w:ind w:left="709" w:hanging="360"/>
      </w:pPr>
    </w:lvl>
    <w:lvl w:ilvl="1" w:tplc="C0F06BF4">
      <w:start w:val="1"/>
      <w:numFmt w:val="lowerLetter"/>
      <w:lvlText w:val="%2."/>
      <w:lvlJc w:val="left"/>
      <w:pPr>
        <w:ind w:left="731" w:hanging="360"/>
      </w:pPr>
    </w:lvl>
    <w:lvl w:ilvl="2" w:tplc="D6840ECC">
      <w:start w:val="1"/>
      <w:numFmt w:val="lowerRoman"/>
      <w:lvlText w:val="%3."/>
      <w:lvlJc w:val="right"/>
      <w:pPr>
        <w:ind w:left="1451" w:hanging="180"/>
      </w:pPr>
    </w:lvl>
    <w:lvl w:ilvl="3" w:tplc="0D387334">
      <w:start w:val="1"/>
      <w:numFmt w:val="decimal"/>
      <w:lvlText w:val="%4."/>
      <w:lvlJc w:val="left"/>
      <w:pPr>
        <w:ind w:left="2171" w:hanging="360"/>
      </w:pPr>
    </w:lvl>
    <w:lvl w:ilvl="4" w:tplc="F4D63D04">
      <w:start w:val="1"/>
      <w:numFmt w:val="lowerLetter"/>
      <w:lvlText w:val="%5."/>
      <w:lvlJc w:val="left"/>
      <w:pPr>
        <w:ind w:left="2891" w:hanging="360"/>
      </w:pPr>
    </w:lvl>
    <w:lvl w:ilvl="5" w:tplc="11647958">
      <w:start w:val="1"/>
      <w:numFmt w:val="lowerRoman"/>
      <w:lvlText w:val="%6."/>
      <w:lvlJc w:val="right"/>
      <w:pPr>
        <w:ind w:left="3611" w:hanging="180"/>
      </w:pPr>
    </w:lvl>
    <w:lvl w:ilvl="6" w:tplc="8864C7D4">
      <w:start w:val="1"/>
      <w:numFmt w:val="decimal"/>
      <w:lvlText w:val="%7."/>
      <w:lvlJc w:val="left"/>
      <w:pPr>
        <w:ind w:left="4331" w:hanging="360"/>
      </w:pPr>
    </w:lvl>
    <w:lvl w:ilvl="7" w:tplc="AD1EFA50">
      <w:start w:val="1"/>
      <w:numFmt w:val="lowerLetter"/>
      <w:lvlText w:val="%8."/>
      <w:lvlJc w:val="left"/>
      <w:pPr>
        <w:ind w:left="5051" w:hanging="360"/>
      </w:pPr>
    </w:lvl>
    <w:lvl w:ilvl="8" w:tplc="840C5154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50674D91"/>
    <w:multiLevelType w:val="multilevel"/>
    <w:tmpl w:val="D556D092"/>
    <w:styleLink w:val="2"/>
    <w:lvl w:ilvl="0">
      <w:start w:val="1"/>
      <w:numFmt w:val="decimal"/>
      <w:pStyle w:val="2"/>
      <w:lvlText w:val="%1."/>
      <w:lvlJc w:val="left"/>
      <w:pPr>
        <w:ind w:left="1080" w:hanging="360"/>
      </w:pPr>
      <w:rPr>
        <w:rFonts w:hAnsi="Arial Unicode MS"/>
        <w:b/>
        <w:bCs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272" w:hanging="480"/>
      </w:pPr>
      <w:rPr>
        <w:rFonts w:hAnsi="Arial Unicode MS"/>
        <w:b/>
        <w:bCs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Ansi="Arial Unicode MS"/>
        <w:b/>
        <w:bCs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656" w:hanging="720"/>
      </w:pPr>
      <w:rPr>
        <w:rFonts w:hAnsi="Arial Unicode MS"/>
        <w:b/>
        <w:bCs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Ansi="Arial Unicode MS"/>
        <w:b/>
        <w:bCs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2160" w:hanging="1080"/>
      </w:pPr>
      <w:rPr>
        <w:rFonts w:hAnsi="Arial Unicode MS"/>
        <w:b/>
        <w:bCs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2592" w:hanging="1440"/>
      </w:pPr>
      <w:rPr>
        <w:rFonts w:hAnsi="Arial Unicode MS"/>
        <w:b/>
        <w:bCs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2664" w:hanging="1440"/>
      </w:pPr>
      <w:rPr>
        <w:rFonts w:hAnsi="Arial Unicode MS"/>
        <w:b/>
        <w:bCs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3096" w:hanging="1800"/>
      </w:pPr>
      <w:rPr>
        <w:rFonts w:hAnsi="Arial Unicode MS"/>
        <w:b/>
        <w:bCs/>
        <w:caps w:val="0"/>
        <w:smallCaps w:val="0"/>
        <w:color w:val="000000"/>
        <w:spacing w:val="0"/>
        <w:position w:val="0"/>
        <w:highlight w:val="none"/>
        <w:vertAlign w:val="baseline"/>
      </w:rPr>
    </w:lvl>
  </w:abstractNum>
  <w:abstractNum w:abstractNumId="22" w15:restartNumberingAfterBreak="0">
    <w:nsid w:val="51A62512"/>
    <w:multiLevelType w:val="hybridMultilevel"/>
    <w:tmpl w:val="C1D0BBEE"/>
    <w:lvl w:ilvl="0" w:tplc="3856A1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FFC72F0">
      <w:start w:val="1"/>
      <w:numFmt w:val="lowerLetter"/>
      <w:lvlText w:val="%2."/>
      <w:lvlJc w:val="left"/>
      <w:pPr>
        <w:ind w:left="1789" w:hanging="360"/>
      </w:pPr>
    </w:lvl>
    <w:lvl w:ilvl="2" w:tplc="F4E0D21E">
      <w:start w:val="1"/>
      <w:numFmt w:val="lowerRoman"/>
      <w:lvlText w:val="%3."/>
      <w:lvlJc w:val="right"/>
      <w:pPr>
        <w:ind w:left="2509" w:hanging="180"/>
      </w:pPr>
    </w:lvl>
    <w:lvl w:ilvl="3" w:tplc="7A326D1C">
      <w:start w:val="1"/>
      <w:numFmt w:val="decimal"/>
      <w:lvlText w:val="%4."/>
      <w:lvlJc w:val="left"/>
      <w:pPr>
        <w:ind w:left="3229" w:hanging="360"/>
      </w:pPr>
    </w:lvl>
    <w:lvl w:ilvl="4" w:tplc="2DB4C0F4">
      <w:start w:val="1"/>
      <w:numFmt w:val="lowerLetter"/>
      <w:lvlText w:val="%5."/>
      <w:lvlJc w:val="left"/>
      <w:pPr>
        <w:ind w:left="3949" w:hanging="360"/>
      </w:pPr>
    </w:lvl>
    <w:lvl w:ilvl="5" w:tplc="C882B878">
      <w:start w:val="1"/>
      <w:numFmt w:val="lowerRoman"/>
      <w:lvlText w:val="%6."/>
      <w:lvlJc w:val="right"/>
      <w:pPr>
        <w:ind w:left="4669" w:hanging="180"/>
      </w:pPr>
    </w:lvl>
    <w:lvl w:ilvl="6" w:tplc="59C8E4D2">
      <w:start w:val="1"/>
      <w:numFmt w:val="decimal"/>
      <w:lvlText w:val="%7."/>
      <w:lvlJc w:val="left"/>
      <w:pPr>
        <w:ind w:left="5389" w:hanging="360"/>
      </w:pPr>
    </w:lvl>
    <w:lvl w:ilvl="7" w:tplc="CF34A69A">
      <w:start w:val="1"/>
      <w:numFmt w:val="lowerLetter"/>
      <w:lvlText w:val="%8."/>
      <w:lvlJc w:val="left"/>
      <w:pPr>
        <w:ind w:left="6109" w:hanging="360"/>
      </w:pPr>
    </w:lvl>
    <w:lvl w:ilvl="8" w:tplc="0EE00A9E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2164AA7"/>
    <w:multiLevelType w:val="hybridMultilevel"/>
    <w:tmpl w:val="733E85F2"/>
    <w:lvl w:ilvl="0" w:tplc="1D9AF8A8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  <w:b w:val="0"/>
        <w:color w:val="auto"/>
      </w:rPr>
    </w:lvl>
    <w:lvl w:ilvl="1" w:tplc="0C88FF0E">
      <w:start w:val="1"/>
      <w:numFmt w:val="lowerLetter"/>
      <w:lvlText w:val="%2."/>
      <w:lvlJc w:val="left"/>
      <w:pPr>
        <w:ind w:left="1789" w:hanging="360"/>
      </w:pPr>
    </w:lvl>
    <w:lvl w:ilvl="2" w:tplc="507C259A">
      <w:start w:val="1"/>
      <w:numFmt w:val="lowerRoman"/>
      <w:lvlText w:val="%3."/>
      <w:lvlJc w:val="right"/>
      <w:pPr>
        <w:ind w:left="2509" w:hanging="180"/>
      </w:pPr>
    </w:lvl>
    <w:lvl w:ilvl="3" w:tplc="D2104E38">
      <w:start w:val="1"/>
      <w:numFmt w:val="decimal"/>
      <w:lvlText w:val="%4."/>
      <w:lvlJc w:val="left"/>
      <w:pPr>
        <w:ind w:left="3229" w:hanging="360"/>
      </w:pPr>
    </w:lvl>
    <w:lvl w:ilvl="4" w:tplc="458A29CC">
      <w:start w:val="1"/>
      <w:numFmt w:val="lowerLetter"/>
      <w:lvlText w:val="%5."/>
      <w:lvlJc w:val="left"/>
      <w:pPr>
        <w:ind w:left="3949" w:hanging="360"/>
      </w:pPr>
    </w:lvl>
    <w:lvl w:ilvl="5" w:tplc="C17E8DDE">
      <w:start w:val="1"/>
      <w:numFmt w:val="lowerRoman"/>
      <w:lvlText w:val="%6."/>
      <w:lvlJc w:val="right"/>
      <w:pPr>
        <w:ind w:left="4669" w:hanging="180"/>
      </w:pPr>
    </w:lvl>
    <w:lvl w:ilvl="6" w:tplc="04766AF6">
      <w:start w:val="1"/>
      <w:numFmt w:val="decimal"/>
      <w:lvlText w:val="%7."/>
      <w:lvlJc w:val="left"/>
      <w:pPr>
        <w:ind w:left="5389" w:hanging="360"/>
      </w:pPr>
    </w:lvl>
    <w:lvl w:ilvl="7" w:tplc="D4CADD2A">
      <w:start w:val="1"/>
      <w:numFmt w:val="lowerLetter"/>
      <w:lvlText w:val="%8."/>
      <w:lvlJc w:val="left"/>
      <w:pPr>
        <w:ind w:left="6109" w:hanging="360"/>
      </w:pPr>
    </w:lvl>
    <w:lvl w:ilvl="8" w:tplc="193ED342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5001C5A"/>
    <w:multiLevelType w:val="hybridMultilevel"/>
    <w:tmpl w:val="C5F25DB0"/>
    <w:lvl w:ilvl="0" w:tplc="7D746698">
      <w:start w:val="1"/>
      <w:numFmt w:val="bullet"/>
      <w:lvlText w:val="–"/>
      <w:lvlJc w:val="left"/>
      <w:pPr>
        <w:ind w:left="1418" w:hanging="360"/>
      </w:pPr>
      <w:rPr>
        <w:rFonts w:ascii="Arial" w:eastAsia="Arial" w:hAnsi="Arial" w:cs="Arial" w:hint="default"/>
      </w:rPr>
    </w:lvl>
    <w:lvl w:ilvl="1" w:tplc="5A921EE4">
      <w:start w:val="1"/>
      <w:numFmt w:val="bullet"/>
      <w:lvlText w:val="o"/>
      <w:lvlJc w:val="left"/>
      <w:pPr>
        <w:ind w:left="2138" w:hanging="360"/>
      </w:pPr>
      <w:rPr>
        <w:rFonts w:ascii="Courier New" w:eastAsia="Courier New" w:hAnsi="Courier New" w:cs="Courier New" w:hint="default"/>
      </w:rPr>
    </w:lvl>
    <w:lvl w:ilvl="2" w:tplc="8ED61EB8">
      <w:start w:val="1"/>
      <w:numFmt w:val="bullet"/>
      <w:lvlText w:val="§"/>
      <w:lvlJc w:val="left"/>
      <w:pPr>
        <w:ind w:left="2858" w:hanging="360"/>
      </w:pPr>
      <w:rPr>
        <w:rFonts w:ascii="Wingdings" w:eastAsia="Wingdings" w:hAnsi="Wingdings" w:cs="Wingdings" w:hint="default"/>
      </w:rPr>
    </w:lvl>
    <w:lvl w:ilvl="3" w:tplc="DC66BBB8">
      <w:start w:val="1"/>
      <w:numFmt w:val="bullet"/>
      <w:lvlText w:val="·"/>
      <w:lvlJc w:val="left"/>
      <w:pPr>
        <w:ind w:left="3578" w:hanging="360"/>
      </w:pPr>
      <w:rPr>
        <w:rFonts w:ascii="Symbol" w:eastAsia="Symbol" w:hAnsi="Symbol" w:cs="Symbol" w:hint="default"/>
      </w:rPr>
    </w:lvl>
    <w:lvl w:ilvl="4" w:tplc="14C087B0">
      <w:start w:val="1"/>
      <w:numFmt w:val="bullet"/>
      <w:lvlText w:val="o"/>
      <w:lvlJc w:val="left"/>
      <w:pPr>
        <w:ind w:left="4298" w:hanging="360"/>
      </w:pPr>
      <w:rPr>
        <w:rFonts w:ascii="Courier New" w:eastAsia="Courier New" w:hAnsi="Courier New" w:cs="Courier New" w:hint="default"/>
      </w:rPr>
    </w:lvl>
    <w:lvl w:ilvl="5" w:tplc="E5F69D7E">
      <w:start w:val="1"/>
      <w:numFmt w:val="bullet"/>
      <w:lvlText w:val="§"/>
      <w:lvlJc w:val="left"/>
      <w:pPr>
        <w:ind w:left="5018" w:hanging="360"/>
      </w:pPr>
      <w:rPr>
        <w:rFonts w:ascii="Wingdings" w:eastAsia="Wingdings" w:hAnsi="Wingdings" w:cs="Wingdings" w:hint="default"/>
      </w:rPr>
    </w:lvl>
    <w:lvl w:ilvl="6" w:tplc="512A4942">
      <w:start w:val="1"/>
      <w:numFmt w:val="bullet"/>
      <w:lvlText w:val="·"/>
      <w:lvlJc w:val="left"/>
      <w:pPr>
        <w:ind w:left="5738" w:hanging="360"/>
      </w:pPr>
      <w:rPr>
        <w:rFonts w:ascii="Symbol" w:eastAsia="Symbol" w:hAnsi="Symbol" w:cs="Symbol" w:hint="default"/>
      </w:rPr>
    </w:lvl>
    <w:lvl w:ilvl="7" w:tplc="D414B358">
      <w:start w:val="1"/>
      <w:numFmt w:val="bullet"/>
      <w:lvlText w:val="o"/>
      <w:lvlJc w:val="left"/>
      <w:pPr>
        <w:ind w:left="6458" w:hanging="360"/>
      </w:pPr>
      <w:rPr>
        <w:rFonts w:ascii="Courier New" w:eastAsia="Courier New" w:hAnsi="Courier New" w:cs="Courier New" w:hint="default"/>
      </w:rPr>
    </w:lvl>
    <w:lvl w:ilvl="8" w:tplc="B73AA3BE">
      <w:start w:val="1"/>
      <w:numFmt w:val="bullet"/>
      <w:lvlText w:val="§"/>
      <w:lvlJc w:val="left"/>
      <w:pPr>
        <w:ind w:left="7178" w:hanging="360"/>
      </w:pPr>
      <w:rPr>
        <w:rFonts w:ascii="Wingdings" w:eastAsia="Wingdings" w:hAnsi="Wingdings" w:cs="Wingdings" w:hint="default"/>
      </w:rPr>
    </w:lvl>
  </w:abstractNum>
  <w:abstractNum w:abstractNumId="25" w15:restartNumberingAfterBreak="0">
    <w:nsid w:val="615D6900"/>
    <w:multiLevelType w:val="hybridMultilevel"/>
    <w:tmpl w:val="EFDA2930"/>
    <w:lvl w:ilvl="0" w:tplc="7A48A7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3B07750">
      <w:start w:val="1"/>
      <w:numFmt w:val="lowerLetter"/>
      <w:lvlText w:val="%2."/>
      <w:lvlJc w:val="left"/>
      <w:pPr>
        <w:ind w:left="1440" w:hanging="360"/>
      </w:pPr>
    </w:lvl>
    <w:lvl w:ilvl="2" w:tplc="ADEA7BA2">
      <w:start w:val="1"/>
      <w:numFmt w:val="lowerRoman"/>
      <w:lvlText w:val="%3."/>
      <w:lvlJc w:val="right"/>
      <w:pPr>
        <w:ind w:left="2160" w:hanging="180"/>
      </w:pPr>
    </w:lvl>
    <w:lvl w:ilvl="3" w:tplc="7376FFE4">
      <w:start w:val="1"/>
      <w:numFmt w:val="decimal"/>
      <w:lvlText w:val="%4."/>
      <w:lvlJc w:val="left"/>
      <w:pPr>
        <w:ind w:left="2880" w:hanging="360"/>
      </w:pPr>
    </w:lvl>
    <w:lvl w:ilvl="4" w:tplc="98BC0D5E">
      <w:start w:val="1"/>
      <w:numFmt w:val="lowerLetter"/>
      <w:lvlText w:val="%5."/>
      <w:lvlJc w:val="left"/>
      <w:pPr>
        <w:ind w:left="3600" w:hanging="360"/>
      </w:pPr>
    </w:lvl>
    <w:lvl w:ilvl="5" w:tplc="51825036">
      <w:start w:val="1"/>
      <w:numFmt w:val="lowerRoman"/>
      <w:lvlText w:val="%6."/>
      <w:lvlJc w:val="right"/>
      <w:pPr>
        <w:ind w:left="4320" w:hanging="180"/>
      </w:pPr>
    </w:lvl>
    <w:lvl w:ilvl="6" w:tplc="B7E2F71A">
      <w:start w:val="1"/>
      <w:numFmt w:val="decimal"/>
      <w:lvlText w:val="%7."/>
      <w:lvlJc w:val="left"/>
      <w:pPr>
        <w:ind w:left="5040" w:hanging="360"/>
      </w:pPr>
    </w:lvl>
    <w:lvl w:ilvl="7" w:tplc="44E80430">
      <w:start w:val="1"/>
      <w:numFmt w:val="lowerLetter"/>
      <w:lvlText w:val="%8."/>
      <w:lvlJc w:val="left"/>
      <w:pPr>
        <w:ind w:left="5760" w:hanging="360"/>
      </w:pPr>
    </w:lvl>
    <w:lvl w:ilvl="8" w:tplc="2074819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E600D7"/>
    <w:multiLevelType w:val="hybridMultilevel"/>
    <w:tmpl w:val="E1A28D10"/>
    <w:lvl w:ilvl="0" w:tplc="2C0C296A">
      <w:start w:val="1"/>
      <w:numFmt w:val="decimal"/>
      <w:lvlText w:val="%1."/>
      <w:lvlJc w:val="left"/>
      <w:pPr>
        <w:ind w:left="709" w:hanging="360"/>
      </w:pPr>
    </w:lvl>
    <w:lvl w:ilvl="1" w:tplc="406A7C1C">
      <w:start w:val="1"/>
      <w:numFmt w:val="lowerLetter"/>
      <w:lvlText w:val="%2."/>
      <w:lvlJc w:val="left"/>
      <w:pPr>
        <w:ind w:left="1429" w:hanging="360"/>
      </w:pPr>
    </w:lvl>
    <w:lvl w:ilvl="2" w:tplc="B3D0AC9C">
      <w:start w:val="1"/>
      <w:numFmt w:val="lowerRoman"/>
      <w:lvlText w:val="%3."/>
      <w:lvlJc w:val="right"/>
      <w:pPr>
        <w:ind w:left="2149" w:hanging="180"/>
      </w:pPr>
    </w:lvl>
    <w:lvl w:ilvl="3" w:tplc="779C0A68">
      <w:start w:val="1"/>
      <w:numFmt w:val="decimal"/>
      <w:lvlText w:val="%4."/>
      <w:lvlJc w:val="left"/>
      <w:pPr>
        <w:ind w:left="2869" w:hanging="360"/>
      </w:pPr>
    </w:lvl>
    <w:lvl w:ilvl="4" w:tplc="8DE4FBF2">
      <w:start w:val="1"/>
      <w:numFmt w:val="lowerLetter"/>
      <w:lvlText w:val="%5."/>
      <w:lvlJc w:val="left"/>
      <w:pPr>
        <w:ind w:left="3589" w:hanging="360"/>
      </w:pPr>
    </w:lvl>
    <w:lvl w:ilvl="5" w:tplc="094C2A40">
      <w:start w:val="1"/>
      <w:numFmt w:val="lowerRoman"/>
      <w:lvlText w:val="%6."/>
      <w:lvlJc w:val="right"/>
      <w:pPr>
        <w:ind w:left="4309" w:hanging="180"/>
      </w:pPr>
    </w:lvl>
    <w:lvl w:ilvl="6" w:tplc="48B264D6">
      <w:start w:val="1"/>
      <w:numFmt w:val="decimal"/>
      <w:lvlText w:val="%7."/>
      <w:lvlJc w:val="left"/>
      <w:pPr>
        <w:ind w:left="5029" w:hanging="360"/>
      </w:pPr>
    </w:lvl>
    <w:lvl w:ilvl="7" w:tplc="E15886C0">
      <w:start w:val="1"/>
      <w:numFmt w:val="lowerLetter"/>
      <w:lvlText w:val="%8."/>
      <w:lvlJc w:val="left"/>
      <w:pPr>
        <w:ind w:left="5749" w:hanging="360"/>
      </w:pPr>
    </w:lvl>
    <w:lvl w:ilvl="8" w:tplc="E68AD3F0">
      <w:start w:val="1"/>
      <w:numFmt w:val="lowerRoman"/>
      <w:lvlText w:val="%9."/>
      <w:lvlJc w:val="right"/>
      <w:pPr>
        <w:ind w:left="6469" w:hanging="180"/>
      </w:pPr>
    </w:lvl>
  </w:abstractNum>
  <w:abstractNum w:abstractNumId="27" w15:restartNumberingAfterBreak="0">
    <w:nsid w:val="622033DF"/>
    <w:multiLevelType w:val="hybridMultilevel"/>
    <w:tmpl w:val="61FEC4B2"/>
    <w:lvl w:ilvl="0" w:tplc="6A3044C8">
      <w:start w:val="1"/>
      <w:numFmt w:val="decimal"/>
      <w:lvlText w:val="%1."/>
      <w:lvlJc w:val="left"/>
      <w:pPr>
        <w:ind w:left="1057" w:hanging="360"/>
      </w:pPr>
    </w:lvl>
    <w:lvl w:ilvl="1" w:tplc="09AE950E">
      <w:start w:val="1"/>
      <w:numFmt w:val="lowerLetter"/>
      <w:lvlText w:val="%2."/>
      <w:lvlJc w:val="left"/>
      <w:pPr>
        <w:ind w:left="1777" w:hanging="360"/>
      </w:pPr>
    </w:lvl>
    <w:lvl w:ilvl="2" w:tplc="DDB05AFA">
      <w:start w:val="1"/>
      <w:numFmt w:val="lowerRoman"/>
      <w:lvlText w:val="%3."/>
      <w:lvlJc w:val="right"/>
      <w:pPr>
        <w:ind w:left="2497" w:hanging="180"/>
      </w:pPr>
    </w:lvl>
    <w:lvl w:ilvl="3" w:tplc="A3EAFA7C">
      <w:start w:val="1"/>
      <w:numFmt w:val="decimal"/>
      <w:lvlText w:val="%4."/>
      <w:lvlJc w:val="left"/>
      <w:pPr>
        <w:ind w:left="3217" w:hanging="360"/>
      </w:pPr>
    </w:lvl>
    <w:lvl w:ilvl="4" w:tplc="27426E2A">
      <w:start w:val="1"/>
      <w:numFmt w:val="lowerLetter"/>
      <w:lvlText w:val="%5."/>
      <w:lvlJc w:val="left"/>
      <w:pPr>
        <w:ind w:left="3937" w:hanging="360"/>
      </w:pPr>
    </w:lvl>
    <w:lvl w:ilvl="5" w:tplc="A110724E">
      <w:start w:val="1"/>
      <w:numFmt w:val="lowerRoman"/>
      <w:lvlText w:val="%6."/>
      <w:lvlJc w:val="right"/>
      <w:pPr>
        <w:ind w:left="4657" w:hanging="180"/>
      </w:pPr>
    </w:lvl>
    <w:lvl w:ilvl="6" w:tplc="B9105116">
      <w:start w:val="1"/>
      <w:numFmt w:val="decimal"/>
      <w:lvlText w:val="%7."/>
      <w:lvlJc w:val="left"/>
      <w:pPr>
        <w:ind w:left="5377" w:hanging="360"/>
      </w:pPr>
    </w:lvl>
    <w:lvl w:ilvl="7" w:tplc="41945392">
      <w:start w:val="1"/>
      <w:numFmt w:val="lowerLetter"/>
      <w:lvlText w:val="%8."/>
      <w:lvlJc w:val="left"/>
      <w:pPr>
        <w:ind w:left="6097" w:hanging="360"/>
      </w:pPr>
    </w:lvl>
    <w:lvl w:ilvl="8" w:tplc="A3509FE6">
      <w:start w:val="1"/>
      <w:numFmt w:val="lowerRoman"/>
      <w:lvlText w:val="%9."/>
      <w:lvlJc w:val="right"/>
      <w:pPr>
        <w:ind w:left="6817" w:hanging="180"/>
      </w:pPr>
    </w:lvl>
  </w:abstractNum>
  <w:abstractNum w:abstractNumId="28" w15:restartNumberingAfterBreak="0">
    <w:nsid w:val="62B91959"/>
    <w:multiLevelType w:val="hybridMultilevel"/>
    <w:tmpl w:val="486A58E6"/>
    <w:lvl w:ilvl="0" w:tplc="0308B1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F460CE6">
      <w:start w:val="1"/>
      <w:numFmt w:val="lowerLetter"/>
      <w:lvlText w:val="%2."/>
      <w:lvlJc w:val="left"/>
      <w:pPr>
        <w:ind w:left="1789" w:hanging="360"/>
      </w:pPr>
    </w:lvl>
    <w:lvl w:ilvl="2" w:tplc="1C1E1D0C">
      <w:start w:val="1"/>
      <w:numFmt w:val="lowerRoman"/>
      <w:lvlText w:val="%3."/>
      <w:lvlJc w:val="right"/>
      <w:pPr>
        <w:ind w:left="2509" w:hanging="180"/>
      </w:pPr>
    </w:lvl>
    <w:lvl w:ilvl="3" w:tplc="B0AC44DC">
      <w:start w:val="1"/>
      <w:numFmt w:val="decimal"/>
      <w:lvlText w:val="%4."/>
      <w:lvlJc w:val="left"/>
      <w:pPr>
        <w:ind w:left="3229" w:hanging="360"/>
      </w:pPr>
    </w:lvl>
    <w:lvl w:ilvl="4" w:tplc="3EF47CC8">
      <w:start w:val="1"/>
      <w:numFmt w:val="lowerLetter"/>
      <w:lvlText w:val="%5."/>
      <w:lvlJc w:val="left"/>
      <w:pPr>
        <w:ind w:left="3949" w:hanging="360"/>
      </w:pPr>
    </w:lvl>
    <w:lvl w:ilvl="5" w:tplc="8CAC4BA6">
      <w:start w:val="1"/>
      <w:numFmt w:val="lowerRoman"/>
      <w:lvlText w:val="%6."/>
      <w:lvlJc w:val="right"/>
      <w:pPr>
        <w:ind w:left="4669" w:hanging="180"/>
      </w:pPr>
    </w:lvl>
    <w:lvl w:ilvl="6" w:tplc="9F529882">
      <w:start w:val="1"/>
      <w:numFmt w:val="decimal"/>
      <w:lvlText w:val="%7."/>
      <w:lvlJc w:val="left"/>
      <w:pPr>
        <w:ind w:left="5389" w:hanging="360"/>
      </w:pPr>
    </w:lvl>
    <w:lvl w:ilvl="7" w:tplc="2654BBD4">
      <w:start w:val="1"/>
      <w:numFmt w:val="lowerLetter"/>
      <w:lvlText w:val="%8."/>
      <w:lvlJc w:val="left"/>
      <w:pPr>
        <w:ind w:left="6109" w:hanging="360"/>
      </w:pPr>
    </w:lvl>
    <w:lvl w:ilvl="8" w:tplc="270E8688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40A31D3"/>
    <w:multiLevelType w:val="hybridMultilevel"/>
    <w:tmpl w:val="4D0AFD46"/>
    <w:styleLink w:val="3"/>
    <w:lvl w:ilvl="0" w:tplc="0EC626FA">
      <w:start w:val="1"/>
      <w:numFmt w:val="decimal"/>
      <w:pStyle w:val="3"/>
      <w:lvlText w:val="%1)"/>
      <w:lvlJc w:val="left"/>
      <w:pPr>
        <w:ind w:left="720" w:hanging="36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1" w:tplc="C4044D6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2" w:tplc="F7D69348">
      <w:start w:val="1"/>
      <w:numFmt w:val="lowerRoman"/>
      <w:lvlText w:val="%3."/>
      <w:lvlJc w:val="left"/>
      <w:pPr>
        <w:ind w:left="2160" w:hanging="32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3" w:tplc="CAC4514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4" w:tplc="A6BC1BA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5" w:tplc="DCD2F7C4">
      <w:start w:val="1"/>
      <w:numFmt w:val="lowerRoman"/>
      <w:lvlText w:val="%6."/>
      <w:lvlJc w:val="left"/>
      <w:pPr>
        <w:ind w:left="4320" w:hanging="32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6" w:tplc="BA42E64A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7" w:tplc="694C0CF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  <w:lvl w:ilvl="8" w:tplc="8EF262A0">
      <w:start w:val="1"/>
      <w:numFmt w:val="lowerRoman"/>
      <w:lvlText w:val="%9."/>
      <w:lvlJc w:val="left"/>
      <w:pPr>
        <w:ind w:left="6480" w:hanging="320"/>
      </w:pPr>
      <w:rPr>
        <w:rFonts w:hAnsi="Arial Unicode MS"/>
        <w:caps w:val="0"/>
        <w:smallCaps w:val="0"/>
        <w:color w:val="000000"/>
        <w:spacing w:val="0"/>
        <w:position w:val="0"/>
        <w:highlight w:val="none"/>
        <w:vertAlign w:val="baseline"/>
      </w:rPr>
    </w:lvl>
  </w:abstractNum>
  <w:abstractNum w:abstractNumId="30" w15:restartNumberingAfterBreak="0">
    <w:nsid w:val="6FB3724F"/>
    <w:multiLevelType w:val="hybridMultilevel"/>
    <w:tmpl w:val="38907808"/>
    <w:lvl w:ilvl="0" w:tplc="607A9A7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1D469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F0DB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2C72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8EBB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3C92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4299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9607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7EF5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872DB"/>
    <w:multiLevelType w:val="hybridMultilevel"/>
    <w:tmpl w:val="0A14F6AE"/>
    <w:lvl w:ilvl="0" w:tplc="2BE8B386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C9488B10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869450B4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700AA634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981284CA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D146E3F6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8BE527C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B60EBF2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8E2A7BB2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7599411F"/>
    <w:multiLevelType w:val="hybridMultilevel"/>
    <w:tmpl w:val="1DACB544"/>
    <w:lvl w:ilvl="0" w:tplc="6AACA3BA">
      <w:start w:val="1"/>
      <w:numFmt w:val="decimal"/>
      <w:lvlText w:val="%1."/>
      <w:lvlJc w:val="left"/>
      <w:pPr>
        <w:ind w:left="709" w:hanging="360"/>
      </w:pPr>
    </w:lvl>
    <w:lvl w:ilvl="1" w:tplc="AB4AB6FA">
      <w:start w:val="1"/>
      <w:numFmt w:val="lowerLetter"/>
      <w:lvlText w:val="%2."/>
      <w:lvlJc w:val="left"/>
      <w:pPr>
        <w:ind w:left="1429" w:hanging="360"/>
      </w:pPr>
    </w:lvl>
    <w:lvl w:ilvl="2" w:tplc="360E39CE">
      <w:start w:val="1"/>
      <w:numFmt w:val="lowerRoman"/>
      <w:lvlText w:val="%3."/>
      <w:lvlJc w:val="right"/>
      <w:pPr>
        <w:ind w:left="2149" w:hanging="180"/>
      </w:pPr>
    </w:lvl>
    <w:lvl w:ilvl="3" w:tplc="1BAE3052">
      <w:start w:val="1"/>
      <w:numFmt w:val="decimal"/>
      <w:lvlText w:val="%4."/>
      <w:lvlJc w:val="left"/>
      <w:pPr>
        <w:ind w:left="2869" w:hanging="360"/>
      </w:pPr>
    </w:lvl>
    <w:lvl w:ilvl="4" w:tplc="15001DA2">
      <w:start w:val="1"/>
      <w:numFmt w:val="lowerLetter"/>
      <w:lvlText w:val="%5."/>
      <w:lvlJc w:val="left"/>
      <w:pPr>
        <w:ind w:left="3589" w:hanging="360"/>
      </w:pPr>
    </w:lvl>
    <w:lvl w:ilvl="5" w:tplc="43349738">
      <w:start w:val="1"/>
      <w:numFmt w:val="lowerRoman"/>
      <w:lvlText w:val="%6."/>
      <w:lvlJc w:val="right"/>
      <w:pPr>
        <w:ind w:left="4309" w:hanging="180"/>
      </w:pPr>
    </w:lvl>
    <w:lvl w:ilvl="6" w:tplc="DFDC99A6">
      <w:start w:val="1"/>
      <w:numFmt w:val="decimal"/>
      <w:lvlText w:val="%7."/>
      <w:lvlJc w:val="left"/>
      <w:pPr>
        <w:ind w:left="5029" w:hanging="360"/>
      </w:pPr>
    </w:lvl>
    <w:lvl w:ilvl="7" w:tplc="098A4364">
      <w:start w:val="1"/>
      <w:numFmt w:val="lowerLetter"/>
      <w:lvlText w:val="%8."/>
      <w:lvlJc w:val="left"/>
      <w:pPr>
        <w:ind w:left="5749" w:hanging="360"/>
      </w:pPr>
    </w:lvl>
    <w:lvl w:ilvl="8" w:tplc="D6AAD6CE">
      <w:start w:val="1"/>
      <w:numFmt w:val="lowerRoman"/>
      <w:lvlText w:val="%9."/>
      <w:lvlJc w:val="right"/>
      <w:pPr>
        <w:ind w:left="6469" w:hanging="180"/>
      </w:pPr>
    </w:lvl>
  </w:abstractNum>
  <w:abstractNum w:abstractNumId="33" w15:restartNumberingAfterBreak="0">
    <w:nsid w:val="7D8947DF"/>
    <w:multiLevelType w:val="hybridMultilevel"/>
    <w:tmpl w:val="13D634EA"/>
    <w:lvl w:ilvl="0" w:tplc="6D6C433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968ABCEA">
      <w:start w:val="1"/>
      <w:numFmt w:val="lowerLetter"/>
      <w:lvlText w:val="%2."/>
      <w:lvlJc w:val="left"/>
      <w:pPr>
        <w:ind w:left="1440" w:hanging="360"/>
      </w:pPr>
    </w:lvl>
    <w:lvl w:ilvl="2" w:tplc="E0281172">
      <w:start w:val="1"/>
      <w:numFmt w:val="lowerRoman"/>
      <w:lvlText w:val="%3."/>
      <w:lvlJc w:val="right"/>
      <w:pPr>
        <w:ind w:left="2160" w:hanging="180"/>
      </w:pPr>
    </w:lvl>
    <w:lvl w:ilvl="3" w:tplc="A1E2F570">
      <w:start w:val="1"/>
      <w:numFmt w:val="decimal"/>
      <w:lvlText w:val="%4."/>
      <w:lvlJc w:val="left"/>
      <w:pPr>
        <w:ind w:left="2880" w:hanging="360"/>
      </w:pPr>
    </w:lvl>
    <w:lvl w:ilvl="4" w:tplc="5CD4970E">
      <w:start w:val="1"/>
      <w:numFmt w:val="lowerLetter"/>
      <w:lvlText w:val="%5."/>
      <w:lvlJc w:val="left"/>
      <w:pPr>
        <w:ind w:left="3600" w:hanging="360"/>
      </w:pPr>
    </w:lvl>
    <w:lvl w:ilvl="5" w:tplc="961637F8">
      <w:start w:val="1"/>
      <w:numFmt w:val="lowerRoman"/>
      <w:lvlText w:val="%6."/>
      <w:lvlJc w:val="right"/>
      <w:pPr>
        <w:ind w:left="4320" w:hanging="180"/>
      </w:pPr>
    </w:lvl>
    <w:lvl w:ilvl="6" w:tplc="8248A6CE">
      <w:start w:val="1"/>
      <w:numFmt w:val="decimal"/>
      <w:lvlText w:val="%7."/>
      <w:lvlJc w:val="left"/>
      <w:pPr>
        <w:ind w:left="5040" w:hanging="360"/>
      </w:pPr>
    </w:lvl>
    <w:lvl w:ilvl="7" w:tplc="E0DAB84E">
      <w:start w:val="1"/>
      <w:numFmt w:val="lowerLetter"/>
      <w:lvlText w:val="%8."/>
      <w:lvlJc w:val="left"/>
      <w:pPr>
        <w:ind w:left="5760" w:hanging="360"/>
      </w:pPr>
    </w:lvl>
    <w:lvl w:ilvl="8" w:tplc="2D3A692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1"/>
  </w:num>
  <w:num w:numId="3">
    <w:abstractNumId w:val="29"/>
  </w:num>
  <w:num w:numId="4">
    <w:abstractNumId w:val="9"/>
  </w:num>
  <w:num w:numId="5">
    <w:abstractNumId w:val="6"/>
  </w:num>
  <w:num w:numId="6">
    <w:abstractNumId w:val="33"/>
  </w:num>
  <w:num w:numId="7">
    <w:abstractNumId w:val="10"/>
  </w:num>
  <w:num w:numId="8">
    <w:abstractNumId w:val="0"/>
  </w:num>
  <w:num w:numId="9">
    <w:abstractNumId w:val="18"/>
  </w:num>
  <w:num w:numId="10">
    <w:abstractNumId w:val="8"/>
  </w:num>
  <w:num w:numId="11">
    <w:abstractNumId w:val="25"/>
  </w:num>
  <w:num w:numId="12">
    <w:abstractNumId w:val="13"/>
  </w:num>
  <w:num w:numId="13">
    <w:abstractNumId w:val="3"/>
  </w:num>
  <w:num w:numId="14">
    <w:abstractNumId w:val="4"/>
  </w:num>
  <w:num w:numId="15">
    <w:abstractNumId w:val="20"/>
  </w:num>
  <w:num w:numId="16">
    <w:abstractNumId w:val="26"/>
  </w:num>
  <w:num w:numId="17">
    <w:abstractNumId w:val="27"/>
  </w:num>
  <w:num w:numId="18">
    <w:abstractNumId w:val="32"/>
  </w:num>
  <w:num w:numId="19">
    <w:abstractNumId w:val="11"/>
  </w:num>
  <w:num w:numId="20">
    <w:abstractNumId w:val="23"/>
  </w:num>
  <w:num w:numId="21">
    <w:abstractNumId w:val="1"/>
  </w:num>
  <w:num w:numId="22">
    <w:abstractNumId w:val="22"/>
  </w:num>
  <w:num w:numId="23">
    <w:abstractNumId w:val="28"/>
  </w:num>
  <w:num w:numId="24">
    <w:abstractNumId w:val="15"/>
  </w:num>
  <w:num w:numId="25">
    <w:abstractNumId w:val="19"/>
  </w:num>
  <w:num w:numId="26">
    <w:abstractNumId w:val="14"/>
  </w:num>
  <w:num w:numId="27">
    <w:abstractNumId w:val="16"/>
  </w:num>
  <w:num w:numId="28">
    <w:abstractNumId w:val="24"/>
  </w:num>
  <w:num w:numId="29">
    <w:abstractNumId w:val="5"/>
  </w:num>
  <w:num w:numId="30">
    <w:abstractNumId w:val="31"/>
  </w:num>
  <w:num w:numId="31">
    <w:abstractNumId w:val="30"/>
  </w:num>
  <w:num w:numId="32">
    <w:abstractNumId w:val="17"/>
  </w:num>
  <w:num w:numId="33">
    <w:abstractNumId w:val="12"/>
  </w:num>
  <w:num w:numId="34">
    <w:abstractNumId w:val="2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оргун Игорь Васильевич">
    <w15:presenceInfo w15:providerId="None" w15:userId="Моргун Игорь Васильеви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45D"/>
    <w:rsid w:val="000136D9"/>
    <w:rsid w:val="00103AD1"/>
    <w:rsid w:val="001B271F"/>
    <w:rsid w:val="0025609F"/>
    <w:rsid w:val="003050F5"/>
    <w:rsid w:val="0036445D"/>
    <w:rsid w:val="00AB4340"/>
    <w:rsid w:val="00C97A1A"/>
    <w:rsid w:val="00F45A7F"/>
    <w:rsid w:val="00F54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85CA08-E26E-4738-A4EC-5AB5FA9FC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cs="Arial Unicode MS"/>
      <w:color w:val="000000"/>
      <w:sz w:val="24"/>
      <w:szCs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3">
    <w:name w:val="Название объекта Знак"/>
    <w:link w:val="a4"/>
    <w:uiPriority w:val="99"/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basedOn w:val="a0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basedOn w:val="a0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"/>
    <w:basedOn w:val="a0"/>
    <w:link w:val="4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No Spacing"/>
    <w:uiPriority w:val="1"/>
    <w:qFormat/>
  </w:style>
  <w:style w:type="paragraph" w:styleId="a6">
    <w:name w:val="Title"/>
    <w:basedOn w:val="a"/>
    <w:next w:val="a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8b0129e7-b077-4312-a0ae-4ab77f541f9e">
    <w:name w:val="Header Char_8b0129e7-b077-4312-a0ae-4ab77f541f9e"/>
    <w:basedOn w:val="a0"/>
    <w:uiPriority w:val="99"/>
  </w:style>
  <w:style w:type="character" w:customStyle="1" w:styleId="FooterCharb6f1b399-fc42-4f85-a1d9-307d2bcc1727">
    <w:name w:val="Footer Char_b6f1b399-fc42-4f85-a1d9-307d2bcc1727"/>
    <w:basedOn w:val="a0"/>
    <w:uiPriority w:val="99"/>
  </w:style>
  <w:style w:type="paragraph" w:styleId="a4">
    <w:name w:val="caption"/>
    <w:basedOn w:val="a"/>
    <w:next w:val="a"/>
    <w:link w:val="a3"/>
    <w:uiPriority w:val="35"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c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1">
    <w:name w:val="Таблица простая 11"/>
    <w:basedOn w:val="a1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1">
    <w:name w:val="Таблица простая 21"/>
    <w:basedOn w:val="a1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-21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31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41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-51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-61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-71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-112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-212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312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-412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-512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-612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-712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"/>
    <w:link w:val="af"/>
    <w:uiPriority w:val="99"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rPr>
      <w:vertAlign w:val="superscript"/>
    </w:rPr>
  </w:style>
  <w:style w:type="paragraph" w:styleId="13">
    <w:name w:val="toc 1"/>
    <w:basedOn w:val="a"/>
    <w:next w:val="a"/>
    <w:uiPriority w:val="39"/>
    <w:pPr>
      <w:spacing w:after="57"/>
    </w:pPr>
  </w:style>
  <w:style w:type="paragraph" w:styleId="25">
    <w:name w:val="toc 2"/>
    <w:basedOn w:val="a"/>
    <w:next w:val="a"/>
    <w:uiPriority w:val="39"/>
    <w:pPr>
      <w:spacing w:after="57"/>
      <w:ind w:left="283"/>
    </w:pPr>
  </w:style>
  <w:style w:type="paragraph" w:styleId="33">
    <w:name w:val="toc 3"/>
    <w:basedOn w:val="a"/>
    <w:next w:val="a"/>
    <w:uiPriority w:val="39"/>
    <w:pPr>
      <w:spacing w:after="57"/>
      <w:ind w:left="567"/>
    </w:pPr>
  </w:style>
  <w:style w:type="paragraph" w:styleId="43">
    <w:name w:val="toc 4"/>
    <w:basedOn w:val="a"/>
    <w:next w:val="a"/>
    <w:uiPriority w:val="39"/>
    <w:pPr>
      <w:spacing w:after="57"/>
      <w:ind w:left="850"/>
    </w:pPr>
  </w:style>
  <w:style w:type="paragraph" w:styleId="53">
    <w:name w:val="toc 5"/>
    <w:basedOn w:val="a"/>
    <w:next w:val="a"/>
    <w:uiPriority w:val="39"/>
    <w:pPr>
      <w:spacing w:after="57"/>
      <w:ind w:left="1134"/>
    </w:pPr>
  </w:style>
  <w:style w:type="paragraph" w:styleId="61">
    <w:name w:val="toc 6"/>
    <w:basedOn w:val="a"/>
    <w:next w:val="a"/>
    <w:uiPriority w:val="39"/>
    <w:pPr>
      <w:spacing w:after="57"/>
      <w:ind w:left="1417"/>
    </w:pPr>
  </w:style>
  <w:style w:type="paragraph" w:styleId="71">
    <w:name w:val="toc 7"/>
    <w:basedOn w:val="a"/>
    <w:next w:val="a"/>
    <w:uiPriority w:val="39"/>
    <w:pPr>
      <w:spacing w:after="57"/>
      <w:ind w:left="1701"/>
    </w:pPr>
  </w:style>
  <w:style w:type="paragraph" w:styleId="81">
    <w:name w:val="toc 8"/>
    <w:basedOn w:val="a"/>
    <w:next w:val="a"/>
    <w:uiPriority w:val="39"/>
    <w:pPr>
      <w:spacing w:after="57"/>
      <w:ind w:left="1984"/>
    </w:pPr>
  </w:style>
  <w:style w:type="paragraph" w:styleId="91">
    <w:name w:val="toc 9"/>
    <w:basedOn w:val="a"/>
    <w:next w:val="a"/>
    <w:uiPriority w:val="39"/>
    <w:pPr>
      <w:spacing w:after="57"/>
      <w:ind w:left="2268"/>
    </w:pPr>
  </w:style>
  <w:style w:type="paragraph" w:styleId="af1">
    <w:name w:val="TOC Heading"/>
    <w:uiPriority w:val="39"/>
  </w:style>
  <w:style w:type="paragraph" w:styleId="af2">
    <w:name w:val="table of figures"/>
    <w:basedOn w:val="a"/>
    <w:next w:val="a"/>
    <w:uiPriority w:val="99"/>
  </w:style>
  <w:style w:type="character" w:styleId="af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d">
    <w:name w:val="footer"/>
    <w:link w:val="ac"/>
    <w:uiPriority w:val="99"/>
    <w:pPr>
      <w:tabs>
        <w:tab w:val="center" w:pos="4677"/>
        <w:tab w:val="right" w:pos="9355"/>
      </w:tabs>
    </w:pPr>
    <w:rPr>
      <w:rFonts w:cs="Arial Unicode MS"/>
      <w:color w:val="000000"/>
      <w:sz w:val="24"/>
      <w:szCs w:val="24"/>
    </w:rPr>
  </w:style>
  <w:style w:type="paragraph" w:styleId="af5">
    <w:name w:val="Body Text"/>
    <w:rPr>
      <w:rFonts w:ascii="Helvetica Neue" w:eastAsia="Helvetica Neue" w:hAnsi="Helvetica Neue" w:cs="Helvetica Neue"/>
      <w:color w:val="000000"/>
      <w:sz w:val="22"/>
      <w:szCs w:val="22"/>
    </w:rPr>
  </w:style>
  <w:style w:type="paragraph" w:styleId="af6">
    <w:name w:val="List Paragraph"/>
    <w:link w:val="af7"/>
    <w:uiPriority w:val="34"/>
    <w:qFormat/>
    <w:pPr>
      <w:ind w:left="720"/>
    </w:pPr>
    <w:rPr>
      <w:rFonts w:cs="Arial Unicode MS"/>
      <w:color w:val="000000"/>
      <w:sz w:val="24"/>
      <w:szCs w:val="24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2"/>
      </w:numPr>
    </w:pPr>
  </w:style>
  <w:style w:type="paragraph" w:customStyle="1" w:styleId="af8">
    <w:name w:val="По умолчанию"/>
    <w:rPr>
      <w:rFonts w:ascii="Helvetica Neue" w:eastAsia="Helvetica Neue" w:hAnsi="Helvetica Neue" w:cs="Helvetica Neue"/>
      <w:color w:val="000000"/>
      <w:sz w:val="22"/>
      <w:szCs w:val="22"/>
    </w:rPr>
  </w:style>
  <w:style w:type="numbering" w:customStyle="1" w:styleId="3">
    <w:name w:val="Импортированный стиль 3"/>
    <w:pPr>
      <w:numPr>
        <w:numId w:val="3"/>
      </w:numPr>
    </w:pPr>
  </w:style>
  <w:style w:type="numbering" w:customStyle="1" w:styleId="4">
    <w:name w:val="Импортированный стиль 4"/>
    <w:pPr>
      <w:numPr>
        <w:numId w:val="4"/>
      </w:numPr>
    </w:pPr>
  </w:style>
  <w:style w:type="numbering" w:customStyle="1" w:styleId="5">
    <w:name w:val="Импортированный стиль 5"/>
    <w:pPr>
      <w:numPr>
        <w:numId w:val="5"/>
      </w:numPr>
    </w:pPr>
  </w:style>
  <w:style w:type="paragraph" w:styleId="af9">
    <w:name w:val="annotation text"/>
    <w:basedOn w:val="a"/>
    <w:link w:val="afa"/>
    <w:uiPriority w:val="99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rPr>
      <w:rFonts w:cs="Arial Unicode MS"/>
      <w:color w:val="000000"/>
    </w:rPr>
  </w:style>
  <w:style w:type="character" w:styleId="afb">
    <w:name w:val="annotation reference"/>
    <w:basedOn w:val="a0"/>
    <w:uiPriority w:val="99"/>
    <w:rPr>
      <w:sz w:val="16"/>
      <w:szCs w:val="16"/>
    </w:rPr>
  </w:style>
  <w:style w:type="paragraph" w:styleId="afc">
    <w:name w:val="Balloon Text"/>
    <w:basedOn w:val="a"/>
    <w:link w:val="afd"/>
    <w:uiPriority w:val="99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rPr>
      <w:rFonts w:ascii="Segoe UI" w:hAnsi="Segoe UI" w:cs="Segoe UI"/>
      <w:color w:val="000000"/>
      <w:sz w:val="18"/>
      <w:szCs w:val="18"/>
    </w:rPr>
  </w:style>
  <w:style w:type="paragraph" w:styleId="afe">
    <w:name w:val="annotation subject"/>
    <w:basedOn w:val="af9"/>
    <w:next w:val="af9"/>
    <w:link w:val="aff"/>
    <w:uiPriority w:val="99"/>
    <w:rPr>
      <w:b/>
      <w:bCs/>
    </w:rPr>
  </w:style>
  <w:style w:type="character" w:customStyle="1" w:styleId="aff">
    <w:name w:val="Тема примечания Знак"/>
    <w:basedOn w:val="afa"/>
    <w:link w:val="afe"/>
    <w:uiPriority w:val="99"/>
    <w:rPr>
      <w:rFonts w:cs="Arial Unicode MS"/>
      <w:b/>
      <w:bCs/>
      <w:color w:val="000000"/>
    </w:rPr>
  </w:style>
  <w:style w:type="paragraph" w:styleId="aff0">
    <w:name w:val="Normal (Web)"/>
    <w:basedOn w:val="a"/>
    <w:uiPriority w:val="9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100" w:beforeAutospacing="1" w:after="100" w:afterAutospacing="1"/>
    </w:pPr>
    <w:rPr>
      <w:rFonts w:eastAsia="Times New Roman" w:cs="Times New Roman"/>
      <w:color w:val="auto"/>
    </w:rPr>
  </w:style>
  <w:style w:type="paragraph" w:styleId="aff1">
    <w:name w:val="footnote text"/>
    <w:basedOn w:val="a"/>
    <w:link w:val="aff2"/>
    <w:uiPriority w:val="99"/>
    <w:rPr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rPr>
      <w:rFonts w:cs="Arial Unicode MS"/>
      <w:color w:val="000000"/>
    </w:rPr>
  </w:style>
  <w:style w:type="character" w:styleId="aff3">
    <w:name w:val="footnote reference"/>
    <w:basedOn w:val="a0"/>
    <w:uiPriority w:val="99"/>
    <w:rPr>
      <w:vertAlign w:val="superscript"/>
    </w:rPr>
  </w:style>
  <w:style w:type="paragraph" w:styleId="aff4">
    <w:name w:val="header"/>
    <w:basedOn w:val="a"/>
    <w:link w:val="aff5"/>
    <w:uiPriority w:val="9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</w:pPr>
    <w:rPr>
      <w:rFonts w:ascii="Helvetica Neue" w:eastAsia="Helvetica Neue" w:hAnsi="Helvetica Neue" w:cs="Helvetica Neue"/>
      <w:color w:val="auto"/>
      <w:sz w:val="22"/>
      <w:szCs w:val="22"/>
      <w:lang w:eastAsia="en-US"/>
    </w:rPr>
  </w:style>
  <w:style w:type="character" w:customStyle="1" w:styleId="aff5">
    <w:name w:val="Верхний колонтитул Знак"/>
    <w:basedOn w:val="a0"/>
    <w:link w:val="aff4"/>
    <w:uiPriority w:val="99"/>
    <w:rPr>
      <w:rFonts w:ascii="Helvetica Neue" w:eastAsia="Helvetica Neue" w:hAnsi="Helvetica Neue" w:cs="Helvetica Neue"/>
      <w:sz w:val="22"/>
      <w:szCs w:val="22"/>
      <w:lang w:eastAsia="en-US"/>
    </w:rPr>
  </w:style>
  <w:style w:type="character" w:customStyle="1" w:styleId="af7">
    <w:name w:val="Абзац списка Знак"/>
    <w:basedOn w:val="a0"/>
    <w:link w:val="af6"/>
    <w:uiPriority w:val="34"/>
    <w:rPr>
      <w:rFonts w:cs="Arial Unicode MS"/>
      <w:color w:val="000000"/>
      <w:sz w:val="24"/>
      <w:szCs w:val="24"/>
    </w:rPr>
  </w:style>
  <w:style w:type="table" w:styleId="aff6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7">
    <w:name w:val="Revision"/>
    <w:uiPriority w:val="99"/>
    <w:rPr>
      <w:rFonts w:cs="Arial Unicode MS"/>
      <w:color w:val="000000"/>
      <w:sz w:val="24"/>
      <w:szCs w:val="24"/>
    </w:rPr>
  </w:style>
  <w:style w:type="table" w:customStyle="1" w:styleId="14">
    <w:name w:val="Сетка таблицы1"/>
    <w:basedOn w:val="a1"/>
    <w:next w:val="aff6"/>
    <w:uiPriority w:val="59"/>
    <w:rPr>
      <w:rFonts w:ascii="Helvetica Neue" w:eastAsia="Helvetica Neue" w:hAnsi="Helvetica Neue" w:cs="Helvetica Neue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llowtextselection">
    <w:name w:val="allowtextselection"/>
    <w:basedOn w:val="a0"/>
  </w:style>
  <w:style w:type="paragraph" w:customStyle="1" w:styleId="15">
    <w:name w:val="Обычный (веб)1"/>
    <w:uiPriority w:val="99"/>
    <w:semiHidden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bumpedfont15">
    <w:name w:val="bumpedfont15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3432&amp;dst=100013&amp;field=134&amp;date=24.07.2025" TargetMode="External"/><Relationship Id="rId13" Type="http://schemas.openxmlformats.org/officeDocument/2006/relationships/hyperlink" Target="https://login.consultant.ru/link/?req=doc&amp;base=LAW&amp;n=473432&amp;dst=100013&amp;field=134&amp;date=17.09.2025" TargetMode="External"/><Relationship Id="rId18" Type="http://schemas.onlyoffice.com/commentsDocument" Target="commentsDocument.xml"/><Relationship Id="rId3" Type="http://schemas.openxmlformats.org/officeDocument/2006/relationships/styles" Target="styles.xml"/><Relationship Id="rId21" Type="http://schemas.onlyoffice.com/peopleDocument" Target="peopleDocument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88151&amp;dst=2260&amp;field=134&amp;date=24.07.202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onlyoffice.com/commentsIdsDocument" Target="commentsIds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88151&amp;dst=2485&amp;field=134&amp;date=24.07.202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73432&amp;dst=100013&amp;field=134&amp;date=24.07.2025" TargetMode="External"/><Relationship Id="rId19" Type="http://schemas.onlyoffice.com/commentsExtendedDocument" Target="commentsExtendedDocument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5337&amp;dst=821&amp;field=134&amp;date=24.07.202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F74BA7-C16E-46C8-9F7B-59DC9B6A8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2842</Words>
  <Characters>16201</Characters>
  <Application>Microsoft Office Word</Application>
  <DocSecurity>4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InterRAO</Company>
  <LinksUpToDate>false</LinksUpToDate>
  <CharactersWithSpaces>19005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Павлова Татьяна Александровна</dc:creator>
  <cp:lastModifiedBy>автор</cp:lastModifiedBy>
  <cp:revision>2</cp:revision>
  <dcterms:created xsi:type="dcterms:W3CDTF">2025-11-01T13:04:00Z</dcterms:created>
  <dcterms:modified xsi:type="dcterms:W3CDTF">2025-11-01T13:04:00Z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8152afa23c0a4d7c81f066ae10530316</vt:lpwstr>
  </property>
</Properties>
</file>